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D8" w:rsidRPr="0096108E" w:rsidRDefault="003B15D8" w:rsidP="00B50EA3">
      <w:pPr>
        <w:pStyle w:val="NormalWeb"/>
        <w:spacing w:before="0" w:beforeAutospacing="0" w:after="0" w:afterAutospacing="0"/>
        <w:jc w:val="center"/>
        <w:rPr>
          <w:rStyle w:val="Strong"/>
          <w:sz w:val="28"/>
          <w:szCs w:val="28"/>
        </w:rPr>
      </w:pPr>
      <w:bookmarkStart w:id="0" w:name="_GoBack"/>
      <w:bookmarkEnd w:id="0"/>
      <w:r w:rsidRPr="0096108E">
        <w:rPr>
          <w:rStyle w:val="Strong"/>
          <w:sz w:val="28"/>
          <w:szCs w:val="28"/>
        </w:rPr>
        <w:t>THÔNG TIN VỀ MỘT SỐ CHÍNH SÁCH</w:t>
      </w:r>
    </w:p>
    <w:p w:rsidR="003B15D8" w:rsidRPr="0096108E" w:rsidRDefault="003B15D8" w:rsidP="00B50EA3">
      <w:pPr>
        <w:pStyle w:val="NormalWeb"/>
        <w:spacing w:before="0" w:beforeAutospacing="0" w:after="120" w:afterAutospacing="0"/>
        <w:jc w:val="center"/>
        <w:rPr>
          <w:rStyle w:val="Strong"/>
          <w:b w:val="0"/>
          <w:spacing w:val="-6"/>
          <w:sz w:val="14"/>
          <w:szCs w:val="14"/>
        </w:rPr>
      </w:pPr>
      <w:r w:rsidRPr="0096108E">
        <w:rPr>
          <w:rStyle w:val="Strong"/>
          <w:b w:val="0"/>
          <w:spacing w:val="-6"/>
          <w:sz w:val="14"/>
          <w:szCs w:val="14"/>
        </w:rPr>
        <w:t>___________________________</w:t>
      </w:r>
    </w:p>
    <w:p w:rsidR="00607B5F" w:rsidRDefault="00607B5F" w:rsidP="00607B5F">
      <w:pPr>
        <w:pStyle w:val="NormalWeb"/>
        <w:shd w:val="clear" w:color="auto" w:fill="FFFFFF"/>
        <w:spacing w:before="0" w:beforeAutospacing="0" w:after="120" w:afterAutospacing="0"/>
        <w:jc w:val="both"/>
        <w:rPr>
          <w:rFonts w:ascii="NotoSerif" w:hAnsi="NotoSerif"/>
          <w:color w:val="333333"/>
          <w:sz w:val="26"/>
          <w:szCs w:val="26"/>
          <w:shd w:val="clear" w:color="auto" w:fill="FFFFFF"/>
        </w:rPr>
      </w:pPr>
    </w:p>
    <w:p w:rsidR="00607B5F" w:rsidRPr="00607B5F" w:rsidRDefault="00607B5F" w:rsidP="00607B5F">
      <w:pPr>
        <w:pStyle w:val="NormalWeb"/>
        <w:shd w:val="clear" w:color="auto" w:fill="FFFFFF"/>
        <w:spacing w:before="0" w:beforeAutospacing="0" w:after="120" w:afterAutospacing="0"/>
        <w:ind w:firstLine="720"/>
        <w:jc w:val="both"/>
        <w:rPr>
          <w:b/>
          <w:sz w:val="28"/>
          <w:szCs w:val="28"/>
        </w:rPr>
      </w:pPr>
      <w:r w:rsidRPr="00607B5F">
        <w:rPr>
          <w:b/>
          <w:sz w:val="28"/>
          <w:szCs w:val="28"/>
        </w:rPr>
        <w:t xml:space="preserve">1. Luật Kinh doanh bảo hiểm số 08/2022/QH15 của Quốc hội </w:t>
      </w:r>
    </w:p>
    <w:p w:rsidR="00607B5F" w:rsidRDefault="00607B5F" w:rsidP="00607B5F">
      <w:pPr>
        <w:pStyle w:val="NormalWeb"/>
        <w:shd w:val="clear" w:color="auto" w:fill="FFFFFF"/>
        <w:spacing w:before="0" w:beforeAutospacing="0" w:after="120" w:afterAutospacing="0"/>
        <w:ind w:firstLine="720"/>
        <w:jc w:val="both"/>
        <w:rPr>
          <w:sz w:val="28"/>
          <w:szCs w:val="28"/>
        </w:rPr>
      </w:pPr>
      <w:r w:rsidRPr="00607B5F">
        <w:rPr>
          <w:sz w:val="28"/>
          <w:szCs w:val="28"/>
        </w:rPr>
        <w:t>Trong đó, tại Mục 2 Bảo hiểm nhân thọ, Bảo h</w:t>
      </w:r>
      <w:r>
        <w:rPr>
          <w:sz w:val="28"/>
          <w:szCs w:val="28"/>
        </w:rPr>
        <w:t xml:space="preserve">iểm sức khỏe, Luật quy định rõ </w:t>
      </w:r>
      <w:r w:rsidRPr="00607B5F">
        <w:rPr>
          <w:sz w:val="28"/>
          <w:szCs w:val="28"/>
        </w:rPr>
        <w:t>về thời gian cân nhắc tham gia bảo hiểm, đối với các hợp đồng bảo hiểm có thời hạn trên 01 năm, trong 21 ngày kể từ ngày nhận được hợp đồng bảo hiểm, khách hàng có quyền từ chối tiếp tục tham gia bảo hiểm. Khi đó, hợp đồng bị hủy bỏ và khách hàng được hoàn lại chi phí, sau khi trừ đi chi phí hợp lý nếu có.</w:t>
      </w:r>
    </w:p>
    <w:p w:rsidR="00607B5F" w:rsidRPr="00607B5F" w:rsidRDefault="00607B5F" w:rsidP="00607B5F">
      <w:pPr>
        <w:pStyle w:val="NormalWeb"/>
        <w:shd w:val="clear" w:color="auto" w:fill="FFFFFF"/>
        <w:spacing w:before="0" w:beforeAutospacing="0" w:after="120" w:afterAutospacing="0"/>
        <w:ind w:firstLine="720"/>
        <w:jc w:val="both"/>
        <w:rPr>
          <w:sz w:val="28"/>
          <w:szCs w:val="28"/>
        </w:rPr>
      </w:pPr>
      <w:r>
        <w:rPr>
          <w:sz w:val="28"/>
          <w:szCs w:val="28"/>
        </w:rPr>
        <w:t xml:space="preserve">Luật này </w:t>
      </w:r>
      <w:r w:rsidRPr="00607B5F">
        <w:rPr>
          <w:sz w:val="28"/>
          <w:szCs w:val="28"/>
        </w:rPr>
        <w:t xml:space="preserve">có hiệu lực </w:t>
      </w:r>
      <w:r>
        <w:rPr>
          <w:sz w:val="28"/>
          <w:szCs w:val="28"/>
        </w:rPr>
        <w:t xml:space="preserve">kể </w:t>
      </w:r>
      <w:r w:rsidRPr="00607B5F">
        <w:rPr>
          <w:sz w:val="28"/>
          <w:szCs w:val="28"/>
        </w:rPr>
        <w:t>từ ngày 01/01/2023.</w:t>
      </w:r>
    </w:p>
    <w:p w:rsidR="00607B5F" w:rsidRPr="00607B5F" w:rsidRDefault="00607B5F" w:rsidP="00607B5F">
      <w:pPr>
        <w:pStyle w:val="NormalWeb"/>
        <w:shd w:val="clear" w:color="auto" w:fill="FFFFFF"/>
        <w:spacing w:before="0" w:beforeAutospacing="0" w:after="120" w:afterAutospacing="0"/>
        <w:ind w:firstLine="720"/>
        <w:jc w:val="both"/>
        <w:rPr>
          <w:b/>
          <w:sz w:val="28"/>
          <w:szCs w:val="28"/>
        </w:rPr>
      </w:pPr>
      <w:r w:rsidRPr="00607B5F">
        <w:rPr>
          <w:b/>
          <w:sz w:val="28"/>
          <w:szCs w:val="28"/>
        </w:rPr>
        <w:t>2. Nghị định số </w:t>
      </w:r>
      <w:hyperlink r:id="rId6" w:tgtFrame="_blank" w:tooltip="104/2022/NĐ-CP" w:history="1">
        <w:r w:rsidRPr="00AC126C">
          <w:rPr>
            <w:rStyle w:val="Hyperlink"/>
            <w:b/>
            <w:color w:val="auto"/>
            <w:sz w:val="28"/>
            <w:szCs w:val="28"/>
            <w:u w:val="none"/>
          </w:rPr>
          <w:t>104/2022/NĐ-CP</w:t>
        </w:r>
      </w:hyperlink>
      <w:r w:rsidRPr="00607B5F">
        <w:rPr>
          <w:b/>
          <w:sz w:val="28"/>
          <w:szCs w:val="28"/>
        </w:rPr>
        <w:t> ngày 21/12/2022 của Chính phủ sửa đổi, bổ sung một số điều của các nghị định liên quan đến việc nộp, xuất trình sổ hộ khẩu, sổ tạm trú giấy khi thực hiện thủ tục hà</w:t>
      </w:r>
      <w:r>
        <w:rPr>
          <w:b/>
          <w:sz w:val="28"/>
          <w:szCs w:val="28"/>
        </w:rPr>
        <w:t>nh chính, cung cấp dịch vụ công</w:t>
      </w:r>
    </w:p>
    <w:p w:rsidR="00607B5F" w:rsidRPr="00607B5F" w:rsidRDefault="00607B5F" w:rsidP="00607B5F">
      <w:pPr>
        <w:pStyle w:val="NormalWeb"/>
        <w:shd w:val="clear" w:color="auto" w:fill="FFFFFF"/>
        <w:spacing w:before="0" w:beforeAutospacing="0" w:after="120" w:afterAutospacing="0"/>
        <w:ind w:firstLine="720"/>
        <w:jc w:val="both"/>
        <w:rPr>
          <w:sz w:val="28"/>
          <w:szCs w:val="28"/>
        </w:rPr>
      </w:pPr>
      <w:r w:rsidRPr="00607B5F">
        <w:rPr>
          <w:sz w:val="28"/>
          <w:szCs w:val="28"/>
        </w:rPr>
        <w:t>Nghị định số 104/2022/NĐ-CP bỏ quy định về việc nộp, xuất trình sổ hộ khẩu, sổ tạm trú giấy khi thực hiện thủ tục hành chính, cung cấp dịch vụ công, chủ yếu thuộc nhiều lĩnh vực như: việc làm, bảo hiểm y tế, giáo dục, y tế, đất đai, thuế, nhà ở, nhà ở xã hội, điện lực, nuôi con nuôi…</w:t>
      </w:r>
    </w:p>
    <w:p w:rsidR="00607B5F" w:rsidRDefault="00607B5F" w:rsidP="00607B5F">
      <w:pPr>
        <w:pStyle w:val="NormalWeb"/>
        <w:shd w:val="clear" w:color="auto" w:fill="FFFFFF"/>
        <w:spacing w:before="0" w:beforeAutospacing="0" w:after="120" w:afterAutospacing="0"/>
        <w:ind w:firstLine="720"/>
        <w:jc w:val="both"/>
        <w:rPr>
          <w:sz w:val="28"/>
          <w:szCs w:val="28"/>
        </w:rPr>
      </w:pPr>
      <w:r w:rsidRPr="00607B5F">
        <w:rPr>
          <w:sz w:val="28"/>
          <w:szCs w:val="28"/>
        </w:rPr>
        <w:t>Thay vào đó, khi thực hiện các thủ tục trên, người dân chỉ cần xuất trình một trong các loại giấy tờ: Thẻ căn cước công dân, chứng minh nhân dân, giấy xác nhận thông tin về cư trú, giấy thông báo số định danh cá nhân và thông tin công dân trong Cơ sở dữ liệu quốc gia về dân cư.</w:t>
      </w:r>
    </w:p>
    <w:p w:rsidR="00607B5F" w:rsidRPr="00607B5F" w:rsidRDefault="00607B5F" w:rsidP="00607B5F">
      <w:pPr>
        <w:pStyle w:val="NormalWeb"/>
        <w:shd w:val="clear" w:color="auto" w:fill="FFFFFF"/>
        <w:spacing w:before="0" w:beforeAutospacing="0" w:after="120" w:afterAutospacing="0"/>
        <w:ind w:firstLine="720"/>
        <w:jc w:val="both"/>
        <w:rPr>
          <w:sz w:val="28"/>
          <w:szCs w:val="28"/>
        </w:rPr>
      </w:pPr>
      <w:r>
        <w:rPr>
          <w:sz w:val="28"/>
          <w:szCs w:val="28"/>
        </w:rPr>
        <w:t>Nghị định này c</w:t>
      </w:r>
      <w:r w:rsidRPr="00607B5F">
        <w:rPr>
          <w:sz w:val="28"/>
          <w:szCs w:val="28"/>
        </w:rPr>
        <w:t>ó hiệu lực</w:t>
      </w:r>
      <w:r>
        <w:rPr>
          <w:sz w:val="28"/>
          <w:szCs w:val="28"/>
        </w:rPr>
        <w:t xml:space="preserve"> kể</w:t>
      </w:r>
      <w:r w:rsidRPr="00607B5F">
        <w:rPr>
          <w:sz w:val="28"/>
          <w:szCs w:val="28"/>
        </w:rPr>
        <w:t xml:space="preserve"> từ ngày </w:t>
      </w:r>
      <w:r w:rsidR="00AC126C">
        <w:rPr>
          <w:sz w:val="28"/>
          <w:szCs w:val="28"/>
        </w:rPr>
        <w:t>0</w:t>
      </w:r>
      <w:r w:rsidRPr="00607B5F">
        <w:rPr>
          <w:sz w:val="28"/>
          <w:szCs w:val="28"/>
        </w:rPr>
        <w:t>1/</w:t>
      </w:r>
      <w:r w:rsidR="00AC126C">
        <w:rPr>
          <w:sz w:val="28"/>
          <w:szCs w:val="28"/>
        </w:rPr>
        <w:t>0</w:t>
      </w:r>
      <w:r w:rsidRPr="00607B5F">
        <w:rPr>
          <w:sz w:val="28"/>
          <w:szCs w:val="28"/>
        </w:rPr>
        <w:t xml:space="preserve">1/2023, </w:t>
      </w:r>
    </w:p>
    <w:p w:rsidR="00607B5F" w:rsidRPr="00AC126C" w:rsidRDefault="00607B5F" w:rsidP="00607B5F">
      <w:pPr>
        <w:pStyle w:val="NormalWeb"/>
        <w:shd w:val="clear" w:color="auto" w:fill="FFFFFF"/>
        <w:spacing w:before="0" w:beforeAutospacing="0" w:after="120" w:afterAutospacing="0"/>
        <w:ind w:firstLine="720"/>
        <w:jc w:val="both"/>
        <w:rPr>
          <w:b/>
          <w:sz w:val="28"/>
          <w:szCs w:val="28"/>
          <w:shd w:val="clear" w:color="auto" w:fill="FFFFFF"/>
        </w:rPr>
      </w:pPr>
      <w:r w:rsidRPr="00AC126C">
        <w:rPr>
          <w:b/>
          <w:sz w:val="28"/>
          <w:szCs w:val="28"/>
        </w:rPr>
        <w:t xml:space="preserve">3. Quyết định số 3510/QĐ-BHXH ngày 21/11/2022 của Bảo hiểm xã hội Việt Nam ban hành </w:t>
      </w:r>
      <w:bookmarkStart w:id="1" w:name="dieu_1_name"/>
      <w:r w:rsidRPr="00AC126C">
        <w:rPr>
          <w:b/>
          <w:sz w:val="28"/>
          <w:szCs w:val="28"/>
          <w:shd w:val="clear" w:color="auto" w:fill="FFFFFF"/>
        </w:rPr>
        <w:t>Quy trình đăng ký đóng, cấp thẻ bảo hiểm y tế đối với người chỉ tham gia bảo hiểm y tế trên Cổng Dịch vụ công theo Quyết định số </w:t>
      </w:r>
      <w:bookmarkEnd w:id="1"/>
      <w:r w:rsidR="00237504" w:rsidRPr="00AC126C">
        <w:rPr>
          <w:b/>
          <w:sz w:val="28"/>
          <w:szCs w:val="28"/>
        </w:rPr>
        <w:fldChar w:fldCharType="begin"/>
      </w:r>
      <w:r w:rsidRPr="00AC126C">
        <w:rPr>
          <w:b/>
          <w:sz w:val="28"/>
          <w:szCs w:val="28"/>
        </w:rPr>
        <w:instrText xml:space="preserve"> HYPERLINK "https://thuvienphapluat.vn/van-ban/cong-nghe-thong-tin/quyet-dinh-422-qd-ttg-2022-dich-vu-cong-truc-tuyen-tich-hop-tren-cong-dich-vu-cong-quoc-gia-509097.aspx" \o "Quyết định 422/QĐ-TTg" \t "_blank" </w:instrText>
      </w:r>
      <w:r w:rsidR="00237504" w:rsidRPr="00AC126C">
        <w:rPr>
          <w:b/>
          <w:sz w:val="28"/>
          <w:szCs w:val="28"/>
        </w:rPr>
        <w:fldChar w:fldCharType="separate"/>
      </w:r>
      <w:r w:rsidRPr="00AC126C">
        <w:rPr>
          <w:rStyle w:val="Hyperlink"/>
          <w:b/>
          <w:color w:val="auto"/>
          <w:sz w:val="28"/>
          <w:szCs w:val="28"/>
          <w:u w:val="none"/>
          <w:shd w:val="clear" w:color="auto" w:fill="FFFFFF"/>
        </w:rPr>
        <w:t>422/QĐ-TTg</w:t>
      </w:r>
      <w:r w:rsidR="00237504" w:rsidRPr="00AC126C">
        <w:rPr>
          <w:b/>
          <w:sz w:val="28"/>
          <w:szCs w:val="28"/>
        </w:rPr>
        <w:fldChar w:fldCharType="end"/>
      </w:r>
      <w:r w:rsidRPr="00AC126C">
        <w:rPr>
          <w:b/>
          <w:sz w:val="28"/>
          <w:szCs w:val="28"/>
          <w:shd w:val="clear" w:color="auto" w:fill="FFFFFF"/>
        </w:rPr>
        <w:t> ngày 04/4/2022 của Thủ tướng Chính phủ phê duyệt Danh mục dịch vụ công trực tuyến tích hợp, cung cấp trên Cổng Dịch vụ công quốc gia năm 2022</w:t>
      </w:r>
    </w:p>
    <w:p w:rsidR="00607B5F" w:rsidRPr="00B50EA3" w:rsidRDefault="00607B5F" w:rsidP="00607B5F">
      <w:pPr>
        <w:pStyle w:val="NormalWeb"/>
        <w:shd w:val="clear" w:color="auto" w:fill="FFFFFF"/>
        <w:spacing w:before="0" w:beforeAutospacing="0" w:after="120" w:afterAutospacing="0"/>
        <w:ind w:firstLine="720"/>
        <w:jc w:val="both"/>
        <w:rPr>
          <w:spacing w:val="-2"/>
          <w:sz w:val="28"/>
          <w:szCs w:val="28"/>
        </w:rPr>
      </w:pPr>
      <w:r w:rsidRPr="00B50EA3">
        <w:rPr>
          <w:spacing w:val="-2"/>
          <w:sz w:val="28"/>
          <w:szCs w:val="28"/>
          <w:shd w:val="clear" w:color="auto" w:fill="FFFFFF"/>
        </w:rPr>
        <w:t>Quyết định này quy định</w:t>
      </w:r>
      <w:r w:rsidR="004F55D5" w:rsidRPr="00B50EA3">
        <w:rPr>
          <w:spacing w:val="-2"/>
          <w:sz w:val="28"/>
          <w:szCs w:val="28"/>
        </w:rPr>
        <w:t xml:space="preserve"> trường hợp</w:t>
      </w:r>
      <w:r w:rsidRPr="00B50EA3">
        <w:rPr>
          <w:spacing w:val="-2"/>
          <w:sz w:val="28"/>
          <w:szCs w:val="28"/>
        </w:rPr>
        <w:t xml:space="preserve"> đăng ký tham gia BHYT bao gồm cả đăng ký tham gia lần đầu, đóng tiếp BHYT, thay đổi đối tượng từ nhóm khác sang nhóm được ngân sách nhà nước hỗ trợ hoặc tham gia theo hộ gia đình có thể thực hiện thủ tục đăng ký đóng, cấp thẻ BHYT trên Cổng dịch vụ công quốc gia.</w:t>
      </w:r>
    </w:p>
    <w:p w:rsidR="004F55D5" w:rsidRDefault="004F55D5" w:rsidP="004F55D5">
      <w:pPr>
        <w:pStyle w:val="NormalWeb"/>
        <w:shd w:val="clear" w:color="auto" w:fill="FFFFFF"/>
        <w:spacing w:before="0" w:beforeAutospacing="0" w:after="120" w:afterAutospacing="0"/>
        <w:ind w:firstLine="720"/>
        <w:jc w:val="both"/>
        <w:rPr>
          <w:sz w:val="28"/>
          <w:szCs w:val="28"/>
        </w:rPr>
      </w:pPr>
      <w:r>
        <w:rPr>
          <w:sz w:val="28"/>
          <w:szCs w:val="28"/>
        </w:rPr>
        <w:t>T</w:t>
      </w:r>
      <w:r w:rsidRPr="00607B5F">
        <w:rPr>
          <w:sz w:val="28"/>
          <w:szCs w:val="28"/>
        </w:rPr>
        <w:t>ính năng đăng ký BHYT online trên Cổng dịch vụ công quốc gia chỉ áp dụng cho người tham gia BHYT thuộc diện được ngân sách nhà nước hỗ trợ tiền đóng BHYT; người thuộc hộ cận nghèo, hộ nghèo đa chiều, hộ làm nông, lâm, ngư nghiệp và diêm nghiệp có mức sống trung bình; người tham gia BHYT hộ gia đình.</w:t>
      </w:r>
    </w:p>
    <w:p w:rsidR="00607B5F" w:rsidRDefault="00607B5F" w:rsidP="00607B5F">
      <w:pPr>
        <w:pStyle w:val="NormalWeb"/>
        <w:shd w:val="clear" w:color="auto" w:fill="FFFFFF"/>
        <w:spacing w:before="0" w:beforeAutospacing="0" w:after="120" w:afterAutospacing="0"/>
        <w:ind w:firstLine="720"/>
        <w:jc w:val="both"/>
        <w:rPr>
          <w:sz w:val="28"/>
          <w:szCs w:val="28"/>
        </w:rPr>
      </w:pPr>
      <w:r>
        <w:rPr>
          <w:sz w:val="28"/>
          <w:szCs w:val="28"/>
        </w:rPr>
        <w:t xml:space="preserve">Quyết định này </w:t>
      </w:r>
      <w:r w:rsidRPr="00607B5F">
        <w:rPr>
          <w:sz w:val="28"/>
          <w:szCs w:val="28"/>
        </w:rPr>
        <w:t xml:space="preserve">có hiệu lực </w:t>
      </w:r>
      <w:r>
        <w:rPr>
          <w:sz w:val="28"/>
          <w:szCs w:val="28"/>
        </w:rPr>
        <w:t xml:space="preserve">kể </w:t>
      </w:r>
      <w:r w:rsidRPr="00607B5F">
        <w:rPr>
          <w:sz w:val="28"/>
          <w:szCs w:val="28"/>
        </w:rPr>
        <w:t xml:space="preserve">từ ngày </w:t>
      </w:r>
      <w:r>
        <w:rPr>
          <w:sz w:val="28"/>
          <w:szCs w:val="28"/>
        </w:rPr>
        <w:t>0</w:t>
      </w:r>
      <w:r w:rsidRPr="00607B5F">
        <w:rPr>
          <w:sz w:val="28"/>
          <w:szCs w:val="28"/>
        </w:rPr>
        <w:t>1/</w:t>
      </w:r>
      <w:r>
        <w:rPr>
          <w:sz w:val="28"/>
          <w:szCs w:val="28"/>
        </w:rPr>
        <w:t>0</w:t>
      </w:r>
      <w:r w:rsidRPr="00607B5F">
        <w:rPr>
          <w:sz w:val="28"/>
          <w:szCs w:val="28"/>
        </w:rPr>
        <w:t>1/2023</w:t>
      </w:r>
      <w:r>
        <w:rPr>
          <w:sz w:val="28"/>
          <w:szCs w:val="28"/>
        </w:rPr>
        <w:t>.</w:t>
      </w:r>
    </w:p>
    <w:p w:rsidR="00607B5F" w:rsidRPr="00607B5F" w:rsidRDefault="00607B5F" w:rsidP="00607B5F">
      <w:pPr>
        <w:pStyle w:val="NormalWeb"/>
        <w:shd w:val="clear" w:color="auto" w:fill="FFFFFF"/>
        <w:spacing w:before="0" w:beforeAutospacing="0" w:after="120" w:afterAutospacing="0"/>
        <w:ind w:firstLine="720"/>
        <w:jc w:val="both"/>
        <w:rPr>
          <w:b/>
          <w:sz w:val="28"/>
          <w:szCs w:val="28"/>
        </w:rPr>
      </w:pPr>
      <w:r w:rsidRPr="00607B5F">
        <w:rPr>
          <w:b/>
          <w:sz w:val="28"/>
          <w:szCs w:val="28"/>
        </w:rPr>
        <w:lastRenderedPageBreak/>
        <w:t>4.Quyết định</w:t>
      </w:r>
      <w:r w:rsidR="0084739A">
        <w:rPr>
          <w:b/>
          <w:sz w:val="28"/>
          <w:szCs w:val="28"/>
        </w:rPr>
        <w:t xml:space="preserve"> số</w:t>
      </w:r>
      <w:r w:rsidRPr="00607B5F">
        <w:rPr>
          <w:b/>
          <w:sz w:val="28"/>
          <w:szCs w:val="28"/>
        </w:rPr>
        <w:t xml:space="preserve"> 2081/QĐ-NHNN ngày 12/12/2022 của Ngân hàng Nhà nước Việt Nam về mức lãi suất của các ngân hàng thương mại áp dụng trong năm 2023 đối với dư nợ của các khoản vay hỗ trợ nhà ở theo quy định tại Thông tư số 11/2013/TT-NHNN ngày 15/5/2013, Thông tư số 32/2014/TT-NHNN ngày 18/11/2014 và Thông tư số</w:t>
      </w:r>
      <w:r>
        <w:rPr>
          <w:b/>
          <w:sz w:val="28"/>
          <w:szCs w:val="28"/>
        </w:rPr>
        <w:t xml:space="preserve"> 25/2016/TT-NHNN ngày 29/7/2016</w:t>
      </w:r>
    </w:p>
    <w:p w:rsidR="00607B5F" w:rsidRPr="00607B5F" w:rsidRDefault="004F55D5" w:rsidP="00607B5F">
      <w:pPr>
        <w:pStyle w:val="NormalWeb"/>
        <w:shd w:val="clear" w:color="auto" w:fill="FFFFFF"/>
        <w:spacing w:before="0" w:beforeAutospacing="0" w:after="120" w:afterAutospacing="0"/>
        <w:ind w:firstLine="720"/>
        <w:jc w:val="both"/>
        <w:rPr>
          <w:sz w:val="28"/>
          <w:szCs w:val="28"/>
        </w:rPr>
      </w:pPr>
      <w:r>
        <w:rPr>
          <w:sz w:val="28"/>
          <w:szCs w:val="28"/>
        </w:rPr>
        <w:t>M</w:t>
      </w:r>
      <w:r w:rsidR="00607B5F" w:rsidRPr="00607B5F">
        <w:rPr>
          <w:sz w:val="28"/>
          <w:szCs w:val="28"/>
        </w:rPr>
        <w:t>ức lãi suất của các ngân hàng thương mại áp dụng trong năm 2023 đối với dư nợ của các khoản vay hỗ trợ nhà ở theo quy định tại các Thông tư kể trên là 5,0%/năm</w:t>
      </w:r>
    </w:p>
    <w:p w:rsidR="00607B5F" w:rsidRPr="00607B5F" w:rsidRDefault="00607B5F" w:rsidP="00607B5F">
      <w:pPr>
        <w:pStyle w:val="NormalWeb"/>
        <w:shd w:val="clear" w:color="auto" w:fill="FFFFFF"/>
        <w:spacing w:before="0" w:beforeAutospacing="0" w:after="120" w:afterAutospacing="0"/>
        <w:ind w:firstLine="720"/>
        <w:jc w:val="both"/>
        <w:rPr>
          <w:sz w:val="28"/>
          <w:szCs w:val="28"/>
        </w:rPr>
      </w:pPr>
      <w:r w:rsidRPr="00607B5F">
        <w:rPr>
          <w:sz w:val="28"/>
          <w:szCs w:val="28"/>
        </w:rPr>
        <w:t>Quyết định này có hiệu lực thi hành kể từ ngày 01/01/2023.</w:t>
      </w:r>
    </w:p>
    <w:p w:rsidR="003B15D8" w:rsidRPr="00D46610" w:rsidRDefault="00607B5F" w:rsidP="00643F34">
      <w:pPr>
        <w:pStyle w:val="NormalWeb"/>
        <w:shd w:val="clear" w:color="auto" w:fill="FFFFFF"/>
        <w:spacing w:before="0" w:beforeAutospacing="0" w:after="120" w:afterAutospacing="0"/>
        <w:ind w:firstLine="720"/>
        <w:jc w:val="both"/>
        <w:rPr>
          <w:b/>
          <w:sz w:val="28"/>
          <w:szCs w:val="28"/>
        </w:rPr>
      </w:pPr>
      <w:r>
        <w:rPr>
          <w:b/>
          <w:sz w:val="28"/>
          <w:szCs w:val="28"/>
        </w:rPr>
        <w:t>5</w:t>
      </w:r>
      <w:r w:rsidR="003B15D8" w:rsidRPr="003B15D8">
        <w:rPr>
          <w:b/>
          <w:sz w:val="28"/>
          <w:szCs w:val="28"/>
        </w:rPr>
        <w:t xml:space="preserve">. </w:t>
      </w:r>
      <w:r w:rsidR="003B15D8" w:rsidRPr="00D46610">
        <w:rPr>
          <w:b/>
          <w:sz w:val="28"/>
          <w:szCs w:val="28"/>
        </w:rPr>
        <w:t>Thông tư số 02/2023/TT-BTC</w:t>
      </w:r>
      <w:r w:rsidR="00D46610" w:rsidRPr="00D46610">
        <w:rPr>
          <w:b/>
          <w:sz w:val="28"/>
          <w:szCs w:val="28"/>
        </w:rPr>
        <w:t xml:space="preserve"> ngày 06/01/2023 của Bộ trưởng Bộ Tài chính</w:t>
      </w:r>
      <w:r w:rsidR="003B15D8" w:rsidRPr="00D46610">
        <w:rPr>
          <w:b/>
          <w:sz w:val="28"/>
          <w:szCs w:val="28"/>
        </w:rPr>
        <w:t xml:space="preserve"> sửa đổi, bổ sung một số điều của Thông tư số 18/2016/TT-BTC </w:t>
      </w:r>
      <w:r w:rsidR="00D46610">
        <w:rPr>
          <w:b/>
          <w:sz w:val="28"/>
          <w:szCs w:val="28"/>
        </w:rPr>
        <w:t xml:space="preserve">ngày 21/01/2016 của Bộ Tài chính </w:t>
      </w:r>
      <w:r w:rsidR="003B15D8" w:rsidRPr="00D46610">
        <w:rPr>
          <w:b/>
          <w:sz w:val="28"/>
          <w:szCs w:val="28"/>
        </w:rPr>
        <w:t xml:space="preserve">hướng dẫn thực hiện </w:t>
      </w:r>
      <w:r w:rsidR="00D46610">
        <w:rPr>
          <w:b/>
          <w:sz w:val="28"/>
          <w:szCs w:val="28"/>
        </w:rPr>
        <w:t xml:space="preserve">một số điều của </w:t>
      </w:r>
      <w:r w:rsidR="003B15D8" w:rsidRPr="00D46610">
        <w:rPr>
          <w:b/>
          <w:sz w:val="28"/>
          <w:szCs w:val="28"/>
        </w:rPr>
        <w:t>Nghị định số 35/2015/NĐ-CP </w:t>
      </w:r>
      <w:r w:rsidR="00D46610">
        <w:rPr>
          <w:b/>
          <w:sz w:val="28"/>
          <w:szCs w:val="28"/>
        </w:rPr>
        <w:t xml:space="preserve">ngày 13/4/2015 </w:t>
      </w:r>
      <w:r w:rsidR="003B15D8" w:rsidRPr="00D46610">
        <w:rPr>
          <w:b/>
          <w:sz w:val="28"/>
          <w:szCs w:val="28"/>
        </w:rPr>
        <w:t>của Chính phủ về</w:t>
      </w:r>
      <w:r w:rsidR="001F7C89" w:rsidRPr="00D46610">
        <w:rPr>
          <w:b/>
          <w:sz w:val="28"/>
          <w:szCs w:val="28"/>
        </w:rPr>
        <w:t xml:space="preserve"> quản lý, sử dụng đất trồng lúa</w:t>
      </w:r>
    </w:p>
    <w:p w:rsidR="003B15D8" w:rsidRPr="003B15D8" w:rsidRDefault="00D46610" w:rsidP="00643F34">
      <w:pPr>
        <w:shd w:val="clear" w:color="auto" w:fill="FFFFFF"/>
        <w:spacing w:after="120" w:line="240" w:lineRule="auto"/>
        <w:ind w:firstLine="720"/>
        <w:jc w:val="both"/>
        <w:rPr>
          <w:rFonts w:eastAsia="Times New Roman" w:cs="Times New Roman"/>
          <w:sz w:val="28"/>
          <w:szCs w:val="28"/>
        </w:rPr>
      </w:pPr>
      <w:r>
        <w:rPr>
          <w:rFonts w:eastAsia="Times New Roman" w:cs="Times New Roman"/>
          <w:sz w:val="28"/>
          <w:szCs w:val="28"/>
        </w:rPr>
        <w:t xml:space="preserve">- </w:t>
      </w:r>
      <w:r w:rsidR="003B15D8" w:rsidRPr="003B15D8">
        <w:rPr>
          <w:rFonts w:eastAsia="Times New Roman" w:cs="Times New Roman"/>
          <w:sz w:val="28"/>
          <w:szCs w:val="28"/>
        </w:rPr>
        <w:t>Tùy thuộc vào điều kiện cụ thể, địa phương quyết định thực hiện các việc sau: Hỗ trợ cho người trồng lúa: Sử dụng không thấp hơn 50% kinh phí dùng hỗ trợ cho người trồng lúa để áp dụng giống mới, tiến bộ kỹ thuật, công nghệ mới trong sản xuất lúa; hỗ trợ liên kết sản xuất, tiêu thụ sản phẩm.</w:t>
      </w:r>
    </w:p>
    <w:p w:rsidR="004F55D5" w:rsidRDefault="00D46610" w:rsidP="00643F34">
      <w:pPr>
        <w:shd w:val="clear" w:color="auto" w:fill="FFFFFF"/>
        <w:spacing w:after="120" w:line="240" w:lineRule="auto"/>
        <w:ind w:firstLine="720"/>
        <w:jc w:val="both"/>
        <w:rPr>
          <w:rFonts w:eastAsia="Times New Roman" w:cs="Times New Roman"/>
          <w:sz w:val="28"/>
          <w:szCs w:val="28"/>
        </w:rPr>
      </w:pPr>
      <w:r>
        <w:rPr>
          <w:rFonts w:eastAsia="Times New Roman" w:cs="Times New Roman"/>
          <w:sz w:val="28"/>
          <w:szCs w:val="28"/>
        </w:rPr>
        <w:t xml:space="preserve">- </w:t>
      </w:r>
      <w:r w:rsidR="003B15D8" w:rsidRPr="003B15D8">
        <w:rPr>
          <w:rFonts w:eastAsia="Times New Roman" w:cs="Times New Roman"/>
          <w:sz w:val="28"/>
          <w:szCs w:val="28"/>
        </w:rPr>
        <w:t>Phần kinh phí còn lại để thực hiện các việc gồm:</w:t>
      </w:r>
    </w:p>
    <w:p w:rsidR="003B15D8" w:rsidRPr="003B15D8" w:rsidRDefault="004F55D5" w:rsidP="00643F34">
      <w:pPr>
        <w:shd w:val="clear" w:color="auto" w:fill="FFFFFF"/>
        <w:spacing w:after="120" w:line="240" w:lineRule="auto"/>
        <w:ind w:firstLine="720"/>
        <w:jc w:val="both"/>
        <w:rPr>
          <w:rFonts w:eastAsia="Times New Roman" w:cs="Times New Roman"/>
          <w:sz w:val="28"/>
          <w:szCs w:val="28"/>
        </w:rPr>
      </w:pPr>
      <w:r>
        <w:rPr>
          <w:rFonts w:eastAsia="Times New Roman" w:cs="Times New Roman"/>
          <w:sz w:val="28"/>
          <w:szCs w:val="28"/>
        </w:rPr>
        <w:t>+</w:t>
      </w:r>
      <w:r w:rsidR="003B15D8" w:rsidRPr="003B15D8">
        <w:rPr>
          <w:rFonts w:eastAsia="Times New Roman" w:cs="Times New Roman"/>
          <w:sz w:val="28"/>
          <w:szCs w:val="28"/>
        </w:rPr>
        <w:t xml:space="preserve"> Phân tích chất lượng hóa, lý tính của các vùng đất chuyên trồng lúa nước có năng suất, chất lượng cao định kỳ 10 năm để sử dụng hiệu quả và có biện pháp cải tạo phù hợp: Căn cứ vào định mức kinh tế kỹ thuật, các đơn vị lập dự toán chi trình cấp có thẩm quyền quyết định.</w:t>
      </w:r>
    </w:p>
    <w:p w:rsidR="003B15D8" w:rsidRPr="003B15D8" w:rsidRDefault="004F55D5" w:rsidP="00643F34">
      <w:pPr>
        <w:shd w:val="clear" w:color="auto" w:fill="FFFFFF"/>
        <w:spacing w:after="120" w:line="240" w:lineRule="auto"/>
        <w:ind w:firstLine="720"/>
        <w:jc w:val="both"/>
        <w:rPr>
          <w:rFonts w:eastAsia="Times New Roman" w:cs="Times New Roman"/>
          <w:sz w:val="28"/>
          <w:szCs w:val="28"/>
        </w:rPr>
      </w:pPr>
      <w:r>
        <w:rPr>
          <w:rFonts w:eastAsia="Times New Roman" w:cs="Times New Roman"/>
          <w:sz w:val="28"/>
          <w:szCs w:val="28"/>
        </w:rPr>
        <w:t>+</w:t>
      </w:r>
      <w:r w:rsidR="003B15D8" w:rsidRPr="003B15D8">
        <w:rPr>
          <w:rFonts w:eastAsia="Times New Roman" w:cs="Times New Roman"/>
          <w:sz w:val="28"/>
          <w:szCs w:val="28"/>
        </w:rPr>
        <w:t>Cải tạo nâng cao chất lượng đất chuyên trồng lúa nước hoặc đất trồng lúa nước còn lại: Căn cứ vào quy hoạch, kế hoạch sử dụng đất trồng lúa trong từng thời kỳ được cấp có thẩm quyền phê duyệt của địa phương, chất lượng đất chuyên trồng lúa nước trên địa bàn và điều kiện thực tế của địa phương, Ủy ban nhân dân cấp tỉnh chỉ đạo Ủy ban nhân dân cấp huyện lập phương án cải tạo nâng cao chất lượng đất chuyên trồng lúa nước hoặc đất trồng lúa nước còn lại cho cả thời kỳ và từng năm, gửi Sở Nông nghiệp và Phát triển nông thôn để tổng hợp, báo cáo Ủy ban nhân dân cấp tỉnh phê duyệt. </w:t>
      </w:r>
    </w:p>
    <w:p w:rsidR="003B15D8" w:rsidRPr="003B15D8" w:rsidRDefault="004F55D5" w:rsidP="00643F34">
      <w:pPr>
        <w:shd w:val="clear" w:color="auto" w:fill="FFFFFF"/>
        <w:spacing w:after="120" w:line="240" w:lineRule="auto"/>
        <w:ind w:firstLine="720"/>
        <w:jc w:val="both"/>
        <w:rPr>
          <w:rFonts w:eastAsia="Times New Roman" w:cs="Times New Roman"/>
          <w:sz w:val="28"/>
          <w:szCs w:val="28"/>
        </w:rPr>
      </w:pPr>
      <w:r>
        <w:rPr>
          <w:rFonts w:eastAsia="Times New Roman" w:cs="Times New Roman"/>
          <w:sz w:val="28"/>
          <w:szCs w:val="28"/>
        </w:rPr>
        <w:t xml:space="preserve">+ </w:t>
      </w:r>
      <w:r w:rsidR="003B15D8" w:rsidRPr="003B15D8">
        <w:rPr>
          <w:rFonts w:eastAsia="Times New Roman" w:cs="Times New Roman"/>
          <w:sz w:val="28"/>
          <w:szCs w:val="28"/>
        </w:rPr>
        <w:t>Căn cứ phương án cải tạo nâng cao chất lượng đất trồng lúa được duyệt và định mức kinh tế kỹ thuật, các đơn vị lập dự toán chi cải tạo nâng cao chất lượng đất trồng lúa (tăng độ dày tầng canh tác; tôn cao đất trồng lúa trũng, thấp; tăng độ bằng phẳng mặt ruộng; thau chua, rửa mặn đối với đất nhiễm phèn, mặn và các biện pháp cải tạo đất khác) trình cấp có thẩm quyền quyết định để làm cơ sở thực hiện.</w:t>
      </w:r>
    </w:p>
    <w:p w:rsidR="003B15D8" w:rsidRPr="003B15D8" w:rsidRDefault="004F55D5" w:rsidP="00643F34">
      <w:pPr>
        <w:shd w:val="clear" w:color="auto" w:fill="FFFFFF"/>
        <w:spacing w:after="120" w:line="240" w:lineRule="auto"/>
        <w:ind w:firstLine="720"/>
        <w:jc w:val="both"/>
        <w:rPr>
          <w:rFonts w:eastAsia="Times New Roman" w:cs="Times New Roman"/>
          <w:sz w:val="28"/>
          <w:szCs w:val="28"/>
        </w:rPr>
      </w:pPr>
      <w:r>
        <w:rPr>
          <w:rFonts w:eastAsia="Times New Roman" w:cs="Times New Roman"/>
          <w:sz w:val="28"/>
          <w:szCs w:val="28"/>
        </w:rPr>
        <w:t>+</w:t>
      </w:r>
      <w:r w:rsidR="003B15D8" w:rsidRPr="003B15D8">
        <w:rPr>
          <w:rFonts w:eastAsia="Times New Roman" w:cs="Times New Roman"/>
          <w:sz w:val="28"/>
          <w:szCs w:val="28"/>
        </w:rPr>
        <w:t>Đầu tư xây dựng, duy tu bảo dưỡng các công trình hạ tầng nông nghiệp, nông thôn trên địa bàn xã, trong đó ưu tiên đầu tư hệ thống giao thông, thủy lợi trên đất trồng lúa.</w:t>
      </w:r>
    </w:p>
    <w:p w:rsidR="003B15D8" w:rsidRPr="003B15D8" w:rsidRDefault="004F55D5" w:rsidP="00643F34">
      <w:pPr>
        <w:shd w:val="clear" w:color="auto" w:fill="FFFFFF"/>
        <w:spacing w:after="120" w:line="240" w:lineRule="auto"/>
        <w:ind w:firstLine="720"/>
        <w:jc w:val="both"/>
        <w:rPr>
          <w:rFonts w:eastAsia="Times New Roman" w:cs="Times New Roman"/>
          <w:sz w:val="28"/>
          <w:szCs w:val="28"/>
        </w:rPr>
      </w:pPr>
      <w:r>
        <w:rPr>
          <w:rFonts w:eastAsia="Times New Roman" w:cs="Times New Roman"/>
          <w:sz w:val="28"/>
          <w:szCs w:val="28"/>
        </w:rPr>
        <w:lastRenderedPageBreak/>
        <w:t>+</w:t>
      </w:r>
      <w:r w:rsidR="003B15D8" w:rsidRPr="003B15D8">
        <w:rPr>
          <w:rFonts w:eastAsia="Times New Roman" w:cs="Times New Roman"/>
          <w:sz w:val="28"/>
          <w:szCs w:val="28"/>
        </w:rPr>
        <w:t>Khai hoang, phục hóa đất chưa sử dụng thành đất chuyên trồng lúa nước hoặc đất trồng lúa nước còn lại: Mức chi theo quy định tại khoản 4 Điều 7 Nghị định số 35/2015/NĐ-CP của Chính phủ về quản lý, sử dụng đất trồng lúa.</w:t>
      </w:r>
    </w:p>
    <w:p w:rsidR="003B15D8" w:rsidRPr="003B15D8" w:rsidRDefault="003B15D8" w:rsidP="00643F34">
      <w:pPr>
        <w:shd w:val="clear" w:color="auto" w:fill="FFFFFF"/>
        <w:spacing w:after="120" w:line="240" w:lineRule="auto"/>
        <w:ind w:firstLine="720"/>
        <w:jc w:val="both"/>
        <w:rPr>
          <w:rFonts w:eastAsia="Times New Roman" w:cs="Times New Roman"/>
          <w:sz w:val="28"/>
          <w:szCs w:val="28"/>
        </w:rPr>
      </w:pPr>
      <w:r w:rsidRPr="003B15D8">
        <w:rPr>
          <w:rFonts w:eastAsia="Times New Roman" w:cs="Times New Roman"/>
          <w:sz w:val="28"/>
          <w:szCs w:val="28"/>
        </w:rPr>
        <w:t>Thông tư này có hiệu lực thi hành kể từ ngày 20/02/2023.</w:t>
      </w:r>
    </w:p>
    <w:p w:rsidR="00037C86" w:rsidRPr="004F55D5" w:rsidRDefault="00607B5F" w:rsidP="00643F34">
      <w:pPr>
        <w:shd w:val="clear" w:color="auto" w:fill="FFFFFF"/>
        <w:spacing w:after="120" w:line="240" w:lineRule="auto"/>
        <w:ind w:firstLine="720"/>
        <w:jc w:val="both"/>
        <w:rPr>
          <w:rFonts w:ascii="Times New Roman Bold" w:eastAsia="Times New Roman" w:hAnsi="Times New Roman Bold" w:cs="Times New Roman"/>
          <w:b/>
          <w:bCs/>
          <w:iCs/>
          <w:spacing w:val="-4"/>
          <w:sz w:val="28"/>
          <w:szCs w:val="28"/>
        </w:rPr>
      </w:pPr>
      <w:r w:rsidRPr="004F55D5">
        <w:rPr>
          <w:rFonts w:ascii="Times New Roman Bold" w:eastAsia="Times New Roman" w:hAnsi="Times New Roman Bold" w:cs="Times New Roman"/>
          <w:b/>
          <w:bCs/>
          <w:iCs/>
          <w:spacing w:val="-4"/>
          <w:sz w:val="28"/>
          <w:szCs w:val="28"/>
        </w:rPr>
        <w:t>6</w:t>
      </w:r>
      <w:r w:rsidR="001F7C89" w:rsidRPr="004F55D5">
        <w:rPr>
          <w:rFonts w:ascii="Times New Roman Bold" w:eastAsia="Times New Roman" w:hAnsi="Times New Roman Bold" w:cs="Times New Roman"/>
          <w:b/>
          <w:bCs/>
          <w:iCs/>
          <w:spacing w:val="-4"/>
          <w:sz w:val="28"/>
          <w:szCs w:val="28"/>
        </w:rPr>
        <w:t>.T</w:t>
      </w:r>
      <w:r w:rsidR="003B15D8" w:rsidRPr="004F55D5">
        <w:rPr>
          <w:rFonts w:ascii="Times New Roman Bold" w:eastAsia="Times New Roman" w:hAnsi="Times New Roman Bold" w:cs="Times New Roman"/>
          <w:b/>
          <w:bCs/>
          <w:iCs/>
          <w:spacing w:val="-4"/>
          <w:sz w:val="28"/>
          <w:szCs w:val="28"/>
        </w:rPr>
        <w:t>hông tư số 75/2022/TT-BTC ngày 22/12/2022 của Bộ trưởng Bộ Tài chính quy định mức thu, chế độ thu, nộp và</w:t>
      </w:r>
      <w:r w:rsidR="00037C86" w:rsidRPr="004F55D5">
        <w:rPr>
          <w:rFonts w:ascii="Times New Roman Bold" w:eastAsia="Times New Roman" w:hAnsi="Times New Roman Bold" w:cs="Times New Roman"/>
          <w:b/>
          <w:bCs/>
          <w:iCs/>
          <w:spacing w:val="-4"/>
          <w:sz w:val="28"/>
          <w:szCs w:val="28"/>
        </w:rPr>
        <w:t xml:space="preserve"> quản lý lệ phí đăng ký cư trú</w:t>
      </w:r>
    </w:p>
    <w:p w:rsidR="003B15D8" w:rsidRPr="003B15D8" w:rsidRDefault="003B15D8" w:rsidP="00643F34">
      <w:pPr>
        <w:shd w:val="clear" w:color="auto" w:fill="FFFFFF"/>
        <w:spacing w:after="120" w:line="240" w:lineRule="auto"/>
        <w:ind w:firstLine="720"/>
        <w:jc w:val="both"/>
        <w:rPr>
          <w:rFonts w:eastAsia="Times New Roman" w:cs="Times New Roman"/>
          <w:sz w:val="28"/>
          <w:szCs w:val="28"/>
        </w:rPr>
      </w:pPr>
      <w:r w:rsidRPr="003B15D8">
        <w:rPr>
          <w:rFonts w:eastAsia="Times New Roman" w:cs="Times New Roman"/>
          <w:sz w:val="28"/>
          <w:szCs w:val="28"/>
        </w:rPr>
        <w:t>Theo đó, công dân Việt Nam khi thực hiện thủ tục đăng ký cư trú (đăng ký thường trú, đăng ký tạm trú, gia hạn tạm trú, tách hộ) với cơ quan đăng ký cư trú theo quy định pháp luật cư trú thì phải nộp lệ phí theo quy định tại Thông tư này.</w:t>
      </w:r>
    </w:p>
    <w:p w:rsidR="003B15D8" w:rsidRPr="003B15D8" w:rsidRDefault="003B15D8" w:rsidP="00643F34">
      <w:pPr>
        <w:shd w:val="clear" w:color="auto" w:fill="FFFFFF"/>
        <w:spacing w:after="120" w:line="240" w:lineRule="auto"/>
        <w:ind w:firstLine="720"/>
        <w:jc w:val="both"/>
        <w:rPr>
          <w:rFonts w:eastAsia="Times New Roman" w:cs="Times New Roman"/>
          <w:sz w:val="28"/>
          <w:szCs w:val="28"/>
        </w:rPr>
      </w:pPr>
      <w:r w:rsidRPr="003B15D8">
        <w:rPr>
          <w:rFonts w:eastAsia="Times New Roman" w:cs="Times New Roman"/>
          <w:sz w:val="28"/>
          <w:szCs w:val="28"/>
        </w:rPr>
        <w:t>Cụ thể như sau:</w:t>
      </w:r>
    </w:p>
    <w:tbl>
      <w:tblPr>
        <w:tblW w:w="0" w:type="auto"/>
        <w:tblInd w:w="8" w:type="dxa"/>
        <w:shd w:val="clear" w:color="auto" w:fill="FFFFFF"/>
        <w:tblCellMar>
          <w:left w:w="0" w:type="dxa"/>
          <w:right w:w="0" w:type="dxa"/>
        </w:tblCellMar>
        <w:tblLook w:val="04A0"/>
      </w:tblPr>
      <w:tblGrid>
        <w:gridCol w:w="830"/>
        <w:gridCol w:w="2527"/>
        <w:gridCol w:w="1903"/>
        <w:gridCol w:w="1831"/>
        <w:gridCol w:w="2273"/>
      </w:tblGrid>
      <w:tr w:rsidR="003B15D8" w:rsidRPr="003B15D8" w:rsidTr="004F55D5">
        <w:tc>
          <w:tcPr>
            <w:tcW w:w="718" w:type="dxa"/>
            <w:vMerge w:val="restar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b/>
                <w:bCs/>
                <w:sz w:val="28"/>
                <w:szCs w:val="28"/>
              </w:rPr>
              <w:t>STT</w:t>
            </w:r>
          </w:p>
        </w:tc>
        <w:tc>
          <w:tcPr>
            <w:tcW w:w="2527" w:type="dxa"/>
            <w:vMerge w:val="restar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b/>
                <w:bCs/>
                <w:sz w:val="28"/>
                <w:szCs w:val="28"/>
              </w:rPr>
              <w:t>Nội dung</w:t>
            </w:r>
          </w:p>
        </w:tc>
        <w:tc>
          <w:tcPr>
            <w:tcW w:w="1903" w:type="dxa"/>
            <w:vMerge w:val="restar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b/>
                <w:bCs/>
                <w:sz w:val="28"/>
                <w:szCs w:val="28"/>
              </w:rPr>
              <w:t>Đơn vị tính</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b/>
                <w:bCs/>
                <w:sz w:val="28"/>
                <w:szCs w:val="28"/>
              </w:rPr>
              <w:t>Mức thu</w:t>
            </w:r>
          </w:p>
        </w:tc>
      </w:tr>
      <w:tr w:rsidR="003B15D8" w:rsidRPr="003B15D8" w:rsidTr="0084739A">
        <w:trPr>
          <w:trHeight w:val="1476"/>
        </w:trPr>
        <w:tc>
          <w:tcPr>
            <w:tcW w:w="718" w:type="dxa"/>
            <w:vMerge/>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p>
        </w:tc>
        <w:tc>
          <w:tcPr>
            <w:tcW w:w="2527" w:type="dxa"/>
            <w:vMerge/>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p>
        </w:tc>
        <w:tc>
          <w:tcPr>
            <w:tcW w:w="1903" w:type="dxa"/>
            <w:vMerge/>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b/>
                <w:bCs/>
                <w:sz w:val="28"/>
                <w:szCs w:val="28"/>
              </w:rPr>
              <w:t>Trường hợp công dân nộp hồ sơ trực tiếp</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b/>
                <w:bCs/>
                <w:sz w:val="28"/>
                <w:szCs w:val="28"/>
              </w:rPr>
              <w:t>Trường hợp công dân nộp hồ sơ qua cổng dịch vụ công trực tuyến</w:t>
            </w:r>
          </w:p>
        </w:tc>
      </w:tr>
      <w:tr w:rsidR="003B15D8" w:rsidRPr="003B15D8" w:rsidTr="004F55D5">
        <w:tc>
          <w:tcPr>
            <w:tcW w:w="71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sz w:val="28"/>
                <w:szCs w:val="28"/>
              </w:rPr>
              <w:t>1</w:t>
            </w:r>
          </w:p>
        </w:tc>
        <w:tc>
          <w:tcPr>
            <w:tcW w:w="2527"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sz w:val="28"/>
                <w:szCs w:val="28"/>
              </w:rPr>
              <w:t>Đăng ký thường trú</w:t>
            </w:r>
          </w:p>
        </w:tc>
        <w:tc>
          <w:tcPr>
            <w:tcW w:w="1903"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sz w:val="28"/>
                <w:szCs w:val="28"/>
              </w:rPr>
              <w:t>Đồng/lần đăng ký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center"/>
              <w:rPr>
                <w:rFonts w:eastAsia="Times New Roman" w:cs="Times New Roman"/>
                <w:sz w:val="28"/>
                <w:szCs w:val="28"/>
              </w:rPr>
            </w:pPr>
            <w:r w:rsidRPr="003B15D8">
              <w:rPr>
                <w:rFonts w:eastAsia="Times New Roman" w:cs="Times New Roman"/>
                <w:sz w:val="28"/>
                <w:szCs w:val="28"/>
              </w:rPr>
              <w:t>20.000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sz w:val="28"/>
                <w:szCs w:val="28"/>
              </w:rPr>
              <w:t>10.000</w:t>
            </w:r>
          </w:p>
        </w:tc>
      </w:tr>
      <w:tr w:rsidR="003B15D8" w:rsidRPr="003B15D8" w:rsidTr="004F55D5">
        <w:tc>
          <w:tcPr>
            <w:tcW w:w="71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sz w:val="28"/>
                <w:szCs w:val="28"/>
              </w:rPr>
              <w:t>2</w:t>
            </w:r>
          </w:p>
        </w:tc>
        <w:tc>
          <w:tcPr>
            <w:tcW w:w="2527"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sz w:val="28"/>
                <w:szCs w:val="28"/>
              </w:rPr>
              <w:t>Đăng ký tạm trú, gia hạn tạm trú (cá nhân, hộ gia đình)</w:t>
            </w:r>
          </w:p>
        </w:tc>
        <w:tc>
          <w:tcPr>
            <w:tcW w:w="1903"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sz w:val="28"/>
                <w:szCs w:val="28"/>
              </w:rPr>
              <w:t>Đồng/lần đăng ký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center"/>
              <w:rPr>
                <w:rFonts w:eastAsia="Times New Roman" w:cs="Times New Roman"/>
                <w:sz w:val="28"/>
                <w:szCs w:val="28"/>
              </w:rPr>
            </w:pPr>
            <w:r w:rsidRPr="003B15D8">
              <w:rPr>
                <w:rFonts w:eastAsia="Times New Roman" w:cs="Times New Roman"/>
                <w:sz w:val="28"/>
                <w:szCs w:val="28"/>
              </w:rPr>
              <w:t>15.000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sz w:val="28"/>
                <w:szCs w:val="28"/>
              </w:rPr>
              <w:t>7.000</w:t>
            </w:r>
          </w:p>
        </w:tc>
      </w:tr>
      <w:tr w:rsidR="003B15D8" w:rsidRPr="003B15D8" w:rsidTr="004F55D5">
        <w:tc>
          <w:tcPr>
            <w:tcW w:w="71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sz w:val="28"/>
                <w:szCs w:val="28"/>
              </w:rPr>
              <w:t>3</w:t>
            </w:r>
          </w:p>
        </w:tc>
        <w:tc>
          <w:tcPr>
            <w:tcW w:w="2527"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sz w:val="28"/>
                <w:szCs w:val="28"/>
              </w:rPr>
              <w:t>Đăng ký tạm trú theo danh sách, gia hạn tạm trú theo danh sách</w:t>
            </w:r>
          </w:p>
        </w:tc>
        <w:tc>
          <w:tcPr>
            <w:tcW w:w="1903"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sz w:val="28"/>
                <w:szCs w:val="28"/>
              </w:rPr>
              <w:t>Đồng/người/ lần đăng ký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center"/>
              <w:rPr>
                <w:rFonts w:eastAsia="Times New Roman" w:cs="Times New Roman"/>
                <w:sz w:val="28"/>
                <w:szCs w:val="28"/>
              </w:rPr>
            </w:pPr>
            <w:r w:rsidRPr="003B15D8">
              <w:rPr>
                <w:rFonts w:eastAsia="Times New Roman" w:cs="Times New Roman"/>
                <w:sz w:val="28"/>
                <w:szCs w:val="28"/>
              </w:rPr>
              <w:t>10.000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sz w:val="28"/>
                <w:szCs w:val="28"/>
              </w:rPr>
              <w:t>5.000</w:t>
            </w:r>
          </w:p>
        </w:tc>
      </w:tr>
      <w:tr w:rsidR="003B15D8" w:rsidRPr="003B15D8" w:rsidTr="004F55D5">
        <w:tc>
          <w:tcPr>
            <w:tcW w:w="718"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sz w:val="28"/>
                <w:szCs w:val="28"/>
              </w:rPr>
              <w:t>4</w:t>
            </w:r>
          </w:p>
        </w:tc>
        <w:tc>
          <w:tcPr>
            <w:tcW w:w="2527"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sz w:val="28"/>
                <w:szCs w:val="28"/>
              </w:rPr>
              <w:t>Tách hộ</w:t>
            </w:r>
          </w:p>
        </w:tc>
        <w:tc>
          <w:tcPr>
            <w:tcW w:w="1903" w:type="dxa"/>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jc w:val="both"/>
              <w:rPr>
                <w:rFonts w:eastAsia="Times New Roman" w:cs="Times New Roman"/>
                <w:sz w:val="28"/>
                <w:szCs w:val="28"/>
              </w:rPr>
            </w:pPr>
            <w:r w:rsidRPr="003B15D8">
              <w:rPr>
                <w:rFonts w:eastAsia="Times New Roman" w:cs="Times New Roman"/>
                <w:sz w:val="28"/>
                <w:szCs w:val="28"/>
              </w:rPr>
              <w:t>Đồng/lần đăng ký</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center"/>
              <w:rPr>
                <w:rFonts w:eastAsia="Times New Roman" w:cs="Times New Roman"/>
                <w:sz w:val="28"/>
                <w:szCs w:val="28"/>
              </w:rPr>
            </w:pPr>
            <w:r w:rsidRPr="003B15D8">
              <w:rPr>
                <w:rFonts w:eastAsia="Times New Roman" w:cs="Times New Roman"/>
                <w:sz w:val="28"/>
                <w:szCs w:val="28"/>
              </w:rPr>
              <w:t>10.000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rsidR="003B15D8" w:rsidRPr="003B15D8" w:rsidRDefault="003B15D8" w:rsidP="0084739A">
            <w:pPr>
              <w:spacing w:after="0" w:line="240" w:lineRule="auto"/>
              <w:ind w:firstLine="720"/>
              <w:jc w:val="both"/>
              <w:rPr>
                <w:rFonts w:eastAsia="Times New Roman" w:cs="Times New Roman"/>
                <w:sz w:val="28"/>
                <w:szCs w:val="28"/>
              </w:rPr>
            </w:pPr>
            <w:r w:rsidRPr="003B15D8">
              <w:rPr>
                <w:rFonts w:eastAsia="Times New Roman" w:cs="Times New Roman"/>
                <w:sz w:val="28"/>
                <w:szCs w:val="28"/>
              </w:rPr>
              <w:t>5.000</w:t>
            </w:r>
          </w:p>
        </w:tc>
      </w:tr>
    </w:tbl>
    <w:p w:rsidR="003B15D8" w:rsidRPr="003B15D8" w:rsidRDefault="003B15D8" w:rsidP="00643F34">
      <w:pPr>
        <w:shd w:val="clear" w:color="auto" w:fill="FFFFFF"/>
        <w:spacing w:after="120" w:line="240" w:lineRule="auto"/>
        <w:ind w:firstLine="720"/>
        <w:jc w:val="both"/>
        <w:rPr>
          <w:rFonts w:eastAsia="Times New Roman" w:cs="Times New Roman"/>
          <w:sz w:val="28"/>
          <w:szCs w:val="28"/>
        </w:rPr>
      </w:pPr>
      <w:r w:rsidRPr="003B15D8">
        <w:rPr>
          <w:rFonts w:eastAsia="Times New Roman" w:cs="Times New Roman"/>
          <w:sz w:val="28"/>
          <w:szCs w:val="28"/>
        </w:rPr>
        <w:t>Thông tư quy định 4 trường hợp được miễn lệ phí đăng ký cư trú, bao gồm:</w:t>
      </w:r>
    </w:p>
    <w:p w:rsidR="003B15D8" w:rsidRPr="003B15D8" w:rsidRDefault="003B15D8" w:rsidP="00643F34">
      <w:pPr>
        <w:shd w:val="clear" w:color="auto" w:fill="FFFFFF"/>
        <w:spacing w:after="120" w:line="240" w:lineRule="auto"/>
        <w:ind w:firstLine="720"/>
        <w:jc w:val="both"/>
        <w:rPr>
          <w:rFonts w:eastAsia="Times New Roman" w:cs="Times New Roman"/>
          <w:sz w:val="28"/>
          <w:szCs w:val="28"/>
        </w:rPr>
      </w:pPr>
      <w:r w:rsidRPr="003B15D8">
        <w:rPr>
          <w:rFonts w:eastAsia="Times New Roman" w:cs="Times New Roman"/>
          <w:sz w:val="28"/>
          <w:szCs w:val="28"/>
        </w:rPr>
        <w:t>- Trẻ em theo quy định tại Luật Trẻ em; người cao tuổi theo quy định tại Luật Người cao tuổi; người khuyết tật theo quy định tại Luật Người khuyết tật;</w:t>
      </w:r>
    </w:p>
    <w:p w:rsidR="003B15D8" w:rsidRPr="003B15D8" w:rsidRDefault="003B15D8" w:rsidP="00643F34">
      <w:pPr>
        <w:shd w:val="clear" w:color="auto" w:fill="FFFFFF"/>
        <w:spacing w:after="120" w:line="240" w:lineRule="auto"/>
        <w:ind w:firstLine="720"/>
        <w:jc w:val="both"/>
        <w:rPr>
          <w:rFonts w:eastAsia="Times New Roman" w:cs="Times New Roman"/>
          <w:sz w:val="28"/>
          <w:szCs w:val="28"/>
        </w:rPr>
      </w:pPr>
      <w:r w:rsidRPr="003B15D8">
        <w:rPr>
          <w:rFonts w:eastAsia="Times New Roman" w:cs="Times New Roman"/>
          <w:sz w:val="28"/>
          <w:szCs w:val="28"/>
        </w:rPr>
        <w:t>- Người có công với cách mạng và thân nhân của người có công với cách mạng theo quy định tại Pháp lệnh Ưu đãi người có công với cách mạng;</w:t>
      </w:r>
    </w:p>
    <w:p w:rsidR="003B15D8" w:rsidRPr="003B15D8" w:rsidRDefault="003B15D8" w:rsidP="00643F34">
      <w:pPr>
        <w:shd w:val="clear" w:color="auto" w:fill="FFFFFF"/>
        <w:spacing w:after="120" w:line="240" w:lineRule="auto"/>
        <w:ind w:firstLine="720"/>
        <w:jc w:val="both"/>
        <w:rPr>
          <w:rFonts w:eastAsia="Times New Roman" w:cs="Times New Roman"/>
          <w:sz w:val="28"/>
          <w:szCs w:val="28"/>
        </w:rPr>
      </w:pPr>
      <w:r w:rsidRPr="003B15D8">
        <w:rPr>
          <w:rFonts w:eastAsia="Times New Roman" w:cs="Times New Roman"/>
          <w:sz w:val="28"/>
          <w:szCs w:val="28"/>
        </w:rPr>
        <w:lastRenderedPageBreak/>
        <w:t>- Đồng bào dân tộc thiểu số ở các xã có điều kiện kinh tế - xã hội đặc biệt khó khăn; công dân thường trú tại các xã biên giới; công dân thường trú tại các huyện đảo; công dân thuộc hộ nghèo theo quy định của pháp luật;</w:t>
      </w:r>
    </w:p>
    <w:p w:rsidR="003B15D8" w:rsidRDefault="003B15D8" w:rsidP="00643F34">
      <w:pPr>
        <w:shd w:val="clear" w:color="auto" w:fill="FFFFFF"/>
        <w:spacing w:after="120" w:line="240" w:lineRule="auto"/>
        <w:ind w:firstLine="720"/>
        <w:jc w:val="both"/>
        <w:rPr>
          <w:rFonts w:eastAsia="Times New Roman" w:cs="Times New Roman"/>
          <w:sz w:val="28"/>
          <w:szCs w:val="28"/>
        </w:rPr>
      </w:pPr>
      <w:r w:rsidRPr="003B15D8">
        <w:rPr>
          <w:rFonts w:eastAsia="Times New Roman" w:cs="Times New Roman"/>
          <w:sz w:val="28"/>
          <w:szCs w:val="28"/>
        </w:rPr>
        <w:t>- Công dân từ đủ 16 tuổi đến dưới 18 tuổi mồ côi cả cha và mẹ.</w:t>
      </w:r>
    </w:p>
    <w:p w:rsidR="0054129E" w:rsidRPr="0054129E" w:rsidRDefault="0054129E" w:rsidP="00643F34">
      <w:pPr>
        <w:shd w:val="clear" w:color="auto" w:fill="FFFFFF"/>
        <w:spacing w:after="120" w:line="240" w:lineRule="auto"/>
        <w:ind w:firstLine="720"/>
        <w:jc w:val="both"/>
        <w:rPr>
          <w:rFonts w:eastAsia="Times New Roman" w:cs="Times New Roman"/>
          <w:sz w:val="28"/>
          <w:szCs w:val="28"/>
        </w:rPr>
      </w:pPr>
      <w:r>
        <w:rPr>
          <w:rFonts w:eastAsia="Times New Roman" w:cs="Times New Roman"/>
          <w:sz w:val="28"/>
          <w:szCs w:val="28"/>
        </w:rPr>
        <w:t xml:space="preserve">Ngoài ra, Thông tư cũng quy </w:t>
      </w:r>
      <w:r w:rsidRPr="0054129E">
        <w:rPr>
          <w:rFonts w:eastAsia="Times New Roman" w:cs="Times New Roman"/>
          <w:sz w:val="28"/>
          <w:szCs w:val="28"/>
        </w:rPr>
        <w:t xml:space="preserve">định </w:t>
      </w:r>
      <w:r w:rsidRPr="0054129E">
        <w:rPr>
          <w:rFonts w:cs="Times New Roman"/>
          <w:sz w:val="28"/>
          <w:szCs w:val="28"/>
          <w:shd w:val="clear" w:color="auto" w:fill="FFFFFF"/>
        </w:rPr>
        <w:t>công dân được giảm 50% lệ phí khi đăng ký thường trú qua Cổng dịch vụ công trực tuyến.</w:t>
      </w:r>
    </w:p>
    <w:p w:rsidR="00037C86" w:rsidRPr="003B15D8" w:rsidRDefault="00037C86" w:rsidP="00607B5F">
      <w:pPr>
        <w:shd w:val="clear" w:color="auto" w:fill="FFFFFF"/>
        <w:spacing w:after="120" w:line="240" w:lineRule="auto"/>
        <w:ind w:firstLine="720"/>
        <w:jc w:val="both"/>
        <w:rPr>
          <w:rFonts w:eastAsia="Times New Roman" w:cs="Times New Roman"/>
          <w:sz w:val="28"/>
          <w:szCs w:val="28"/>
        </w:rPr>
      </w:pPr>
      <w:r w:rsidRPr="00037C86">
        <w:rPr>
          <w:rFonts w:eastAsia="Times New Roman" w:cs="Times New Roman"/>
          <w:bCs/>
          <w:iCs/>
          <w:sz w:val="28"/>
          <w:szCs w:val="28"/>
        </w:rPr>
        <w:t>Thông tư này có hiệu lực kể từ ngày 05/02/2023.</w:t>
      </w:r>
    </w:p>
    <w:p w:rsidR="00037C86" w:rsidRDefault="00607B5F" w:rsidP="00643F34">
      <w:pPr>
        <w:pStyle w:val="NormalWeb"/>
        <w:shd w:val="clear" w:color="auto" w:fill="FFFFFF"/>
        <w:spacing w:before="0" w:beforeAutospacing="0" w:after="120" w:afterAutospacing="0"/>
        <w:ind w:firstLine="720"/>
        <w:jc w:val="both"/>
        <w:rPr>
          <w:rStyle w:val="Emphasis"/>
          <w:rFonts w:eastAsiaTheme="majorEastAsia"/>
          <w:b/>
          <w:bCs/>
          <w:i w:val="0"/>
          <w:sz w:val="28"/>
          <w:szCs w:val="28"/>
        </w:rPr>
      </w:pPr>
      <w:r>
        <w:rPr>
          <w:rStyle w:val="Emphasis"/>
          <w:rFonts w:eastAsiaTheme="majorEastAsia"/>
          <w:b/>
          <w:bCs/>
          <w:i w:val="0"/>
          <w:sz w:val="28"/>
          <w:szCs w:val="28"/>
        </w:rPr>
        <w:t>7</w:t>
      </w:r>
      <w:r w:rsidR="003B15D8" w:rsidRPr="00037C86">
        <w:rPr>
          <w:rStyle w:val="Emphasis"/>
          <w:rFonts w:eastAsiaTheme="majorEastAsia"/>
          <w:b/>
          <w:bCs/>
          <w:i w:val="0"/>
          <w:sz w:val="28"/>
          <w:szCs w:val="28"/>
        </w:rPr>
        <w:t>. Thông tư số 18/2022/TT-BYT ngày 31/12/2022 của Bộ trưởng Bộ Y tế sửa đổi, bổ sung một số điều của Thông tư số 56/2017/TT-BYT ngày 29/12/2017 của Bộ trưởng Bộ Y tế quy định chi tiết thi hành Luật Bảo hiểm xã hội và Luật An toàn vệ sinh lao động thuộc lĩnh vực y tế</w:t>
      </w:r>
    </w:p>
    <w:p w:rsidR="003B15D8" w:rsidRPr="003B15D8" w:rsidRDefault="003B15D8" w:rsidP="00643F34">
      <w:pPr>
        <w:pStyle w:val="NormalWeb"/>
        <w:shd w:val="clear" w:color="auto" w:fill="FFFFFF"/>
        <w:spacing w:before="0" w:beforeAutospacing="0" w:after="120" w:afterAutospacing="0"/>
        <w:ind w:firstLine="720"/>
        <w:jc w:val="both"/>
        <w:rPr>
          <w:sz w:val="28"/>
          <w:szCs w:val="28"/>
        </w:rPr>
      </w:pPr>
      <w:r w:rsidRPr="003B15D8">
        <w:rPr>
          <w:sz w:val="28"/>
          <w:szCs w:val="28"/>
        </w:rPr>
        <w:t>Theo đó, sửa đổi Điều 4 Thông tư số 56/2017/TT-BYT về trường hợp mắc bệnh được hưởng bảo hiểm xã hội một lần được thực hiện như sau:</w:t>
      </w:r>
    </w:p>
    <w:p w:rsidR="003B15D8" w:rsidRPr="003B15D8" w:rsidRDefault="004F55D5" w:rsidP="004F55D5">
      <w:pPr>
        <w:pStyle w:val="NormalWeb"/>
        <w:shd w:val="clear" w:color="auto" w:fill="FFFFFF"/>
        <w:spacing w:before="0" w:beforeAutospacing="0" w:after="120" w:afterAutospacing="0"/>
        <w:ind w:firstLine="720"/>
        <w:jc w:val="both"/>
        <w:rPr>
          <w:sz w:val="28"/>
          <w:szCs w:val="28"/>
        </w:rPr>
      </w:pPr>
      <w:r>
        <w:rPr>
          <w:sz w:val="28"/>
          <w:szCs w:val="28"/>
        </w:rPr>
        <w:t>“</w:t>
      </w:r>
      <w:r w:rsidR="003B15D8" w:rsidRPr="003B15D8">
        <w:rPr>
          <w:sz w:val="28"/>
          <w:szCs w:val="28"/>
        </w:rPr>
        <w:t>Ngoài trường hợp đang bị mắc một trong những bệnh nguy hiểm đến tính mạng như ung thư, bại liệt, xơ gan cổ chướng, phong, lao nặng, nhiễm HIV đã chuyển sang giai đoạn AIDS quy định tại điểm c khoản 1 Điều 6</w:t>
      </w:r>
      <w:r>
        <w:rPr>
          <w:sz w:val="28"/>
          <w:szCs w:val="28"/>
        </w:rPr>
        <w:t>0 Luật Bảo hiểm xã hội năm 2014, n</w:t>
      </w:r>
      <w:r w:rsidR="003B15D8" w:rsidRPr="003B15D8">
        <w:rPr>
          <w:sz w:val="28"/>
          <w:szCs w:val="28"/>
        </w:rPr>
        <w:t>gười mắc các bệnh, tật có mức suy giảm khả năng lao động từ 81% trở lên và không tự kiểm soát hoặc không tự thực hiện được các hoạt động phục vụ nhu cầu sinh hoạt cá nhân hằng ngày mà cần có người theo dõi, trợ giúp, chăm sóc hoàn toàn được hưởng bảo hiểm xã hội một lần</w:t>
      </w:r>
      <w:r w:rsidR="009E235E">
        <w:rPr>
          <w:sz w:val="28"/>
          <w:szCs w:val="28"/>
        </w:rPr>
        <w:t>.</w:t>
      </w:r>
      <w:r>
        <w:rPr>
          <w:sz w:val="28"/>
          <w:szCs w:val="28"/>
        </w:rPr>
        <w:t>”</w:t>
      </w:r>
      <w:r w:rsidR="003B15D8" w:rsidRPr="003B15D8">
        <w:rPr>
          <w:sz w:val="28"/>
          <w:szCs w:val="28"/>
        </w:rPr>
        <w:t>.</w:t>
      </w:r>
    </w:p>
    <w:p w:rsidR="00037C86" w:rsidRPr="00F14C17" w:rsidRDefault="00037C86" w:rsidP="00643F34">
      <w:pPr>
        <w:pStyle w:val="NormalWeb"/>
        <w:shd w:val="clear" w:color="auto" w:fill="FFFFFF"/>
        <w:spacing w:before="0" w:beforeAutospacing="0" w:after="120" w:afterAutospacing="0"/>
        <w:ind w:firstLine="720"/>
        <w:jc w:val="both"/>
        <w:rPr>
          <w:i/>
          <w:sz w:val="28"/>
          <w:szCs w:val="28"/>
        </w:rPr>
      </w:pPr>
      <w:r w:rsidRPr="00F14C17">
        <w:rPr>
          <w:sz w:val="28"/>
          <w:szCs w:val="28"/>
        </w:rPr>
        <w:t xml:space="preserve">Thông tư này </w:t>
      </w:r>
      <w:r w:rsidRPr="00F14C17">
        <w:rPr>
          <w:rStyle w:val="Emphasis"/>
          <w:rFonts w:eastAsiaTheme="majorEastAsia"/>
          <w:bCs/>
          <w:i w:val="0"/>
          <w:sz w:val="28"/>
          <w:szCs w:val="28"/>
        </w:rPr>
        <w:t>có hiệu lực kể từ ngày 15/02/2023</w:t>
      </w:r>
      <w:r w:rsidR="00F14C17">
        <w:rPr>
          <w:rStyle w:val="Emphasis"/>
          <w:rFonts w:eastAsiaTheme="majorEastAsia"/>
          <w:bCs/>
          <w:i w:val="0"/>
          <w:sz w:val="28"/>
          <w:szCs w:val="28"/>
        </w:rPr>
        <w:t>.</w:t>
      </w:r>
    </w:p>
    <w:p w:rsidR="00037C86" w:rsidRDefault="00607B5F" w:rsidP="00643F34">
      <w:pPr>
        <w:pStyle w:val="NormalWeb"/>
        <w:shd w:val="clear" w:color="auto" w:fill="FFFFFF"/>
        <w:spacing w:before="0" w:beforeAutospacing="0" w:after="120" w:afterAutospacing="0"/>
        <w:ind w:firstLine="720"/>
        <w:jc w:val="both"/>
        <w:rPr>
          <w:b/>
          <w:sz w:val="28"/>
          <w:szCs w:val="28"/>
        </w:rPr>
      </w:pPr>
      <w:r>
        <w:rPr>
          <w:b/>
          <w:sz w:val="28"/>
          <w:szCs w:val="28"/>
        </w:rPr>
        <w:t>8</w:t>
      </w:r>
      <w:r w:rsidR="00037C86" w:rsidRPr="00037C86">
        <w:rPr>
          <w:b/>
          <w:sz w:val="28"/>
          <w:szCs w:val="28"/>
        </w:rPr>
        <w:t xml:space="preserve">. </w:t>
      </w:r>
      <w:r w:rsidR="003B15D8" w:rsidRPr="00037C86">
        <w:rPr>
          <w:b/>
          <w:sz w:val="28"/>
          <w:szCs w:val="28"/>
        </w:rPr>
        <w:t xml:space="preserve">Thông tư 24/2022/TT-BLĐTBXH </w:t>
      </w:r>
      <w:r w:rsidR="00037C86">
        <w:rPr>
          <w:b/>
          <w:sz w:val="28"/>
          <w:szCs w:val="28"/>
        </w:rPr>
        <w:t xml:space="preserve">ngày 30/11/2022 </w:t>
      </w:r>
      <w:r w:rsidR="003B15D8" w:rsidRPr="00037C86">
        <w:rPr>
          <w:b/>
          <w:sz w:val="28"/>
          <w:szCs w:val="28"/>
        </w:rPr>
        <w:t xml:space="preserve">của </w:t>
      </w:r>
      <w:r w:rsidR="00037C86">
        <w:rPr>
          <w:b/>
          <w:sz w:val="28"/>
          <w:szCs w:val="28"/>
        </w:rPr>
        <w:t xml:space="preserve">Bộ trưởng </w:t>
      </w:r>
      <w:r w:rsidR="003B15D8" w:rsidRPr="00037C86">
        <w:rPr>
          <w:b/>
          <w:sz w:val="28"/>
          <w:szCs w:val="28"/>
        </w:rPr>
        <w:t>Bộ Lao động - Thương binh và Xã hội quy định việc bồi dưỡng bằng hiện vật đối với người lao động làm việc trong điều kiện có yếu tố nguy hiểm, yếu tố độc hại</w:t>
      </w:r>
    </w:p>
    <w:p w:rsidR="003B15D8" w:rsidRPr="003B15D8" w:rsidRDefault="00037C86" w:rsidP="00643F34">
      <w:pPr>
        <w:pStyle w:val="NormalWeb"/>
        <w:shd w:val="clear" w:color="auto" w:fill="FFFFFF"/>
        <w:spacing w:before="0" w:beforeAutospacing="0" w:after="120" w:afterAutospacing="0"/>
        <w:ind w:firstLine="720"/>
        <w:jc w:val="both"/>
        <w:rPr>
          <w:sz w:val="28"/>
          <w:szCs w:val="28"/>
        </w:rPr>
      </w:pPr>
      <w:r w:rsidRPr="00037C86">
        <w:rPr>
          <w:sz w:val="28"/>
          <w:szCs w:val="28"/>
        </w:rPr>
        <w:t>M</w:t>
      </w:r>
      <w:r w:rsidR="003B15D8" w:rsidRPr="003B15D8">
        <w:rPr>
          <w:sz w:val="28"/>
          <w:szCs w:val="28"/>
        </w:rPr>
        <w:t>ức bồi dưỡng bằng hiện vật được tính theo định suất hàng ngày và có giá trị bằng tiền như sau:</w:t>
      </w:r>
    </w:p>
    <w:p w:rsidR="003B15D8" w:rsidRPr="003B15D8" w:rsidRDefault="003B15D8" w:rsidP="00643F34">
      <w:pPr>
        <w:pStyle w:val="NormalWeb"/>
        <w:shd w:val="clear" w:color="auto" w:fill="FFFFFF"/>
        <w:spacing w:before="0" w:beforeAutospacing="0" w:after="120" w:afterAutospacing="0"/>
        <w:ind w:firstLine="720"/>
        <w:jc w:val="both"/>
        <w:rPr>
          <w:sz w:val="28"/>
          <w:szCs w:val="28"/>
        </w:rPr>
      </w:pPr>
      <w:r w:rsidRPr="003B15D8">
        <w:rPr>
          <w:sz w:val="28"/>
          <w:szCs w:val="28"/>
        </w:rPr>
        <w:t>- Mức 1: 13.000 đồng (tăng 3.000 đồng);</w:t>
      </w:r>
    </w:p>
    <w:p w:rsidR="003B15D8" w:rsidRPr="003B15D8" w:rsidRDefault="003B15D8" w:rsidP="00643F34">
      <w:pPr>
        <w:pStyle w:val="NormalWeb"/>
        <w:shd w:val="clear" w:color="auto" w:fill="FFFFFF"/>
        <w:spacing w:before="0" w:beforeAutospacing="0" w:after="120" w:afterAutospacing="0"/>
        <w:ind w:firstLine="720"/>
        <w:jc w:val="both"/>
        <w:rPr>
          <w:sz w:val="28"/>
          <w:szCs w:val="28"/>
        </w:rPr>
      </w:pPr>
      <w:r w:rsidRPr="003B15D8">
        <w:rPr>
          <w:sz w:val="28"/>
          <w:szCs w:val="28"/>
        </w:rPr>
        <w:t>- Mức 2: 20.000 đồng (tăng 5.000 đồng);</w:t>
      </w:r>
    </w:p>
    <w:p w:rsidR="003B15D8" w:rsidRPr="003B15D8" w:rsidRDefault="003B15D8" w:rsidP="00643F34">
      <w:pPr>
        <w:pStyle w:val="NormalWeb"/>
        <w:shd w:val="clear" w:color="auto" w:fill="FFFFFF"/>
        <w:spacing w:before="0" w:beforeAutospacing="0" w:after="120" w:afterAutospacing="0"/>
        <w:ind w:firstLine="720"/>
        <w:jc w:val="both"/>
        <w:rPr>
          <w:sz w:val="28"/>
          <w:szCs w:val="28"/>
        </w:rPr>
      </w:pPr>
      <w:r w:rsidRPr="003B15D8">
        <w:rPr>
          <w:sz w:val="28"/>
          <w:szCs w:val="28"/>
        </w:rPr>
        <w:t>- Mức 3: 26.000 đồng (tăng 6.000 đồng);</w:t>
      </w:r>
    </w:p>
    <w:p w:rsidR="003B15D8" w:rsidRPr="003B15D8" w:rsidRDefault="003B15D8" w:rsidP="00643F34">
      <w:pPr>
        <w:pStyle w:val="NormalWeb"/>
        <w:shd w:val="clear" w:color="auto" w:fill="FFFFFF"/>
        <w:spacing w:before="0" w:beforeAutospacing="0" w:after="120" w:afterAutospacing="0"/>
        <w:ind w:firstLine="720"/>
        <w:jc w:val="both"/>
        <w:rPr>
          <w:sz w:val="28"/>
          <w:szCs w:val="28"/>
        </w:rPr>
      </w:pPr>
      <w:r w:rsidRPr="003B15D8">
        <w:rPr>
          <w:sz w:val="28"/>
          <w:szCs w:val="28"/>
        </w:rPr>
        <w:t>- Mức 4: 32.000 đồng (tăng 7.000 đồng).</w:t>
      </w:r>
    </w:p>
    <w:p w:rsidR="003B15D8" w:rsidRPr="003B15D8" w:rsidRDefault="003B15D8" w:rsidP="00643F34">
      <w:pPr>
        <w:pStyle w:val="NormalWeb"/>
        <w:shd w:val="clear" w:color="auto" w:fill="FFFFFF"/>
        <w:spacing w:before="0" w:beforeAutospacing="0" w:after="120" w:afterAutospacing="0"/>
        <w:ind w:firstLine="720"/>
        <w:jc w:val="both"/>
        <w:rPr>
          <w:sz w:val="28"/>
          <w:szCs w:val="28"/>
        </w:rPr>
      </w:pPr>
      <w:r w:rsidRPr="003B15D8">
        <w:rPr>
          <w:sz w:val="28"/>
          <w:szCs w:val="28"/>
        </w:rPr>
        <w:t>Đối với người lao động đủ điều kiện hưởng bồi dưỡng thì mức bồi dưỡng cụ thể theo từng nghề, công việc được quy định tại Phụ lục I của Thông tư 24/2022/TT-BLĐTBXH và được áp dụng theo thời gian làm việc tương ứng như sau:</w:t>
      </w:r>
    </w:p>
    <w:p w:rsidR="003B15D8" w:rsidRPr="003B15D8" w:rsidRDefault="003B15D8" w:rsidP="00643F34">
      <w:pPr>
        <w:pStyle w:val="NormalWeb"/>
        <w:shd w:val="clear" w:color="auto" w:fill="FFFFFF"/>
        <w:spacing w:before="0" w:beforeAutospacing="0" w:after="120" w:afterAutospacing="0"/>
        <w:ind w:firstLine="720"/>
        <w:jc w:val="both"/>
        <w:rPr>
          <w:sz w:val="28"/>
          <w:szCs w:val="28"/>
        </w:rPr>
      </w:pPr>
      <w:r w:rsidRPr="003B15D8">
        <w:rPr>
          <w:sz w:val="28"/>
          <w:szCs w:val="28"/>
        </w:rPr>
        <w:t>- Nếu làm việc từ 50% thời giờ làm việc bình thường trở lên của ngày làm việc thì được hưởng cả định suất bồi dưỡng;</w:t>
      </w:r>
    </w:p>
    <w:p w:rsidR="003B15D8" w:rsidRPr="003B15D8" w:rsidRDefault="003B15D8" w:rsidP="00643F34">
      <w:pPr>
        <w:pStyle w:val="NormalWeb"/>
        <w:shd w:val="clear" w:color="auto" w:fill="FFFFFF"/>
        <w:spacing w:before="0" w:beforeAutospacing="0" w:after="120" w:afterAutospacing="0"/>
        <w:ind w:firstLine="720"/>
        <w:jc w:val="both"/>
        <w:rPr>
          <w:sz w:val="28"/>
          <w:szCs w:val="28"/>
        </w:rPr>
      </w:pPr>
      <w:r w:rsidRPr="003B15D8">
        <w:rPr>
          <w:sz w:val="28"/>
          <w:szCs w:val="28"/>
        </w:rPr>
        <w:t>- Nếu làm dưới 50% thời giờ làm việc bình thường của ngày làm việc thì được hưởng nửa định suất bồi dưỡng;</w:t>
      </w:r>
    </w:p>
    <w:p w:rsidR="003B15D8" w:rsidRPr="00837766" w:rsidRDefault="003B15D8" w:rsidP="00643F34">
      <w:pPr>
        <w:pStyle w:val="NormalWeb"/>
        <w:shd w:val="clear" w:color="auto" w:fill="FFFFFF"/>
        <w:spacing w:before="0" w:beforeAutospacing="0" w:after="120" w:afterAutospacing="0"/>
        <w:ind w:firstLine="720"/>
        <w:jc w:val="both"/>
        <w:rPr>
          <w:spacing w:val="-2"/>
          <w:sz w:val="28"/>
          <w:szCs w:val="28"/>
        </w:rPr>
      </w:pPr>
      <w:r w:rsidRPr="00837766">
        <w:rPr>
          <w:spacing w:val="-2"/>
          <w:sz w:val="28"/>
          <w:szCs w:val="28"/>
        </w:rPr>
        <w:lastRenderedPageBreak/>
        <w:t>- Trong trường hợp người lao động làm thêm giờ, định suất bồi dưỡng bằng hiện vật được tăng lên tương ứng với số giờ làm thêm theo nguyên tắc trên. </w:t>
      </w:r>
    </w:p>
    <w:p w:rsidR="00037C86" w:rsidRDefault="003B15D8" w:rsidP="00643F34">
      <w:pPr>
        <w:pStyle w:val="Heading3"/>
        <w:shd w:val="clear" w:color="auto" w:fill="FFFFFF"/>
        <w:spacing w:before="0" w:after="120" w:line="240" w:lineRule="auto"/>
        <w:ind w:firstLine="720"/>
        <w:jc w:val="both"/>
        <w:rPr>
          <w:rFonts w:ascii="Times New Roman" w:hAnsi="Times New Roman" w:cs="Times New Roman"/>
          <w:color w:val="auto"/>
          <w:sz w:val="28"/>
          <w:szCs w:val="28"/>
        </w:rPr>
      </w:pPr>
      <w:r w:rsidRPr="003B15D8">
        <w:rPr>
          <w:rFonts w:ascii="Times New Roman" w:hAnsi="Times New Roman" w:cs="Times New Roman"/>
          <w:color w:val="auto"/>
          <w:sz w:val="28"/>
          <w:szCs w:val="28"/>
        </w:rPr>
        <w:t>Bổ sung bệnh nghề nghiệp được hưởng bảo hiểm xã hội</w:t>
      </w:r>
      <w:r w:rsidR="00037C86">
        <w:rPr>
          <w:rFonts w:ascii="Times New Roman" w:hAnsi="Times New Roman" w:cs="Times New Roman"/>
          <w:color w:val="auto"/>
          <w:sz w:val="28"/>
          <w:szCs w:val="28"/>
        </w:rPr>
        <w:t>.</w:t>
      </w:r>
    </w:p>
    <w:p w:rsidR="00037C86" w:rsidRDefault="00037C86" w:rsidP="00643F34">
      <w:pPr>
        <w:spacing w:after="120" w:line="240" w:lineRule="auto"/>
        <w:ind w:firstLine="720"/>
        <w:rPr>
          <w:sz w:val="28"/>
          <w:szCs w:val="28"/>
        </w:rPr>
      </w:pPr>
      <w:r w:rsidRPr="00F14C17">
        <w:rPr>
          <w:sz w:val="28"/>
          <w:szCs w:val="28"/>
        </w:rPr>
        <w:t>Thông tư này có hiệu lực kể từ ngày 01/3/2023.</w:t>
      </w:r>
    </w:p>
    <w:p w:rsidR="00877148" w:rsidRPr="00837766" w:rsidRDefault="00877148" w:rsidP="00877148">
      <w:pPr>
        <w:spacing w:after="120" w:line="240" w:lineRule="auto"/>
        <w:ind w:firstLine="720"/>
        <w:jc w:val="both"/>
        <w:rPr>
          <w:rStyle w:val="Strong"/>
          <w:rFonts w:cs="Times New Roman"/>
          <w:b w:val="0"/>
          <w:sz w:val="28"/>
          <w:szCs w:val="28"/>
          <w:shd w:val="clear" w:color="auto" w:fill="FFFFFF"/>
        </w:rPr>
      </w:pPr>
      <w:bookmarkStart w:id="2" w:name="loai_1_name"/>
      <w:r w:rsidRPr="00837766">
        <w:rPr>
          <w:rFonts w:cs="Times New Roman"/>
          <w:b/>
          <w:sz w:val="28"/>
          <w:szCs w:val="28"/>
          <w:shd w:val="clear" w:color="auto" w:fill="FFFFFF"/>
        </w:rPr>
        <w:t>9. Nghị định số 12/2023/NĐ-CP ngày 14/4/2023 của Chính phủ gia hạn thời hạn nộp thuế giá trị gia tăng, thuế thu nhập doanh nghiệp, thuế thu nhập cá nhân và tiền thuê đất trong năm 2023</w:t>
      </w:r>
      <w:bookmarkEnd w:id="2"/>
    </w:p>
    <w:p w:rsidR="00877148" w:rsidRPr="00877148" w:rsidRDefault="00877148" w:rsidP="00877148">
      <w:pPr>
        <w:spacing w:after="120" w:line="240" w:lineRule="auto"/>
        <w:ind w:firstLine="720"/>
        <w:jc w:val="both"/>
        <w:rPr>
          <w:rFonts w:cs="Times New Roman"/>
          <w:sz w:val="28"/>
          <w:szCs w:val="28"/>
          <w:shd w:val="clear" w:color="auto" w:fill="FFFFFF"/>
        </w:rPr>
      </w:pPr>
      <w:r w:rsidRPr="00877148">
        <w:rPr>
          <w:rFonts w:cs="Times New Roman"/>
          <w:sz w:val="28"/>
          <w:szCs w:val="28"/>
          <w:shd w:val="clear" w:color="auto" w:fill="FFFFFF"/>
        </w:rPr>
        <w:t>Đối tượng được gia hạn gồm:</w:t>
      </w:r>
    </w:p>
    <w:p w:rsidR="00877148" w:rsidRDefault="00877148" w:rsidP="00877148">
      <w:pPr>
        <w:spacing w:after="120" w:line="240" w:lineRule="auto"/>
        <w:ind w:firstLine="720"/>
        <w:jc w:val="both"/>
        <w:rPr>
          <w:rFonts w:cs="Times New Roman"/>
          <w:sz w:val="28"/>
          <w:szCs w:val="28"/>
          <w:shd w:val="clear" w:color="auto" w:fill="FFFFFF"/>
        </w:rPr>
      </w:pPr>
      <w:r w:rsidRPr="00877148">
        <w:rPr>
          <w:rFonts w:cs="Times New Roman"/>
          <w:sz w:val="28"/>
          <w:szCs w:val="28"/>
          <w:shd w:val="clear" w:color="auto" w:fill="FFFFFF"/>
        </w:rPr>
        <w:t>(1) Doanh nghiệp, tổ chức, hộ gia đình, hộ kinh doanh, cá nhân hoạt động sản xuất trong các ngành kinh tế sau: nông nghiệp, lâm nghiệp và thủy sản; sản xuất, chế biến thực phẩm; dệt; sản xuất trang phục; sản xuất da và các sản phẩm có liên quan; chế biến gỗ và sản xuất sản phẩm từ gỗ, tre, nứa (trừ giường, tủ, bàn, ghế)</w:t>
      </w:r>
      <w:r>
        <w:rPr>
          <w:rFonts w:cs="Times New Roman"/>
          <w:sz w:val="28"/>
          <w:szCs w:val="28"/>
          <w:shd w:val="clear" w:color="auto" w:fill="FFFFFF"/>
        </w:rPr>
        <w:t>,…</w:t>
      </w:r>
    </w:p>
    <w:p w:rsidR="00877148" w:rsidRPr="00877148" w:rsidRDefault="00877148" w:rsidP="00877148">
      <w:pPr>
        <w:spacing w:after="120" w:line="240" w:lineRule="auto"/>
        <w:ind w:firstLine="720"/>
        <w:jc w:val="both"/>
        <w:rPr>
          <w:rFonts w:cs="Times New Roman"/>
          <w:sz w:val="28"/>
          <w:szCs w:val="28"/>
          <w:shd w:val="clear" w:color="auto" w:fill="FFFFFF"/>
        </w:rPr>
      </w:pPr>
      <w:r w:rsidRPr="00877148">
        <w:rPr>
          <w:rFonts w:cs="Times New Roman"/>
          <w:sz w:val="28"/>
          <w:szCs w:val="28"/>
          <w:shd w:val="clear" w:color="auto" w:fill="FFFFFF"/>
        </w:rPr>
        <w:t>(2) Doanh nghiệp, tổ chức, hộ gia đình, hộ kinh doanh, cá nhân hoạt động kinh doanh trong các ngành kinh tế sau: vận tải kho bãi; dịch vụ lưu trú và ăn uống; giáo dục và đào tạo; y tế và hoạt động trợ giúp xã hội; hoạt động kinh doanh bất động sản; hoạt động dịch vụ lao động và việc làm; hoạt động của các đại lý du lịch, kinh doanh tu</w:t>
      </w:r>
      <w:r>
        <w:rPr>
          <w:rFonts w:cs="Times New Roman"/>
          <w:sz w:val="28"/>
          <w:szCs w:val="28"/>
          <w:shd w:val="clear" w:color="auto" w:fill="FFFFFF"/>
        </w:rPr>
        <w:t>or</w:t>
      </w:r>
      <w:r w:rsidRPr="00877148">
        <w:rPr>
          <w:rFonts w:cs="Times New Roman"/>
          <w:sz w:val="28"/>
          <w:szCs w:val="28"/>
          <w:shd w:val="clear" w:color="auto" w:fill="FFFFFF"/>
        </w:rPr>
        <w:t xml:space="preserve"> du lị</w:t>
      </w:r>
      <w:r>
        <w:rPr>
          <w:rFonts w:cs="Times New Roman"/>
          <w:sz w:val="28"/>
          <w:szCs w:val="28"/>
          <w:shd w:val="clear" w:color="auto" w:fill="FFFFFF"/>
        </w:rPr>
        <w:t>ch,…</w:t>
      </w:r>
    </w:p>
    <w:p w:rsidR="00877148" w:rsidRDefault="00877148" w:rsidP="00877148">
      <w:pPr>
        <w:spacing w:after="120" w:line="240" w:lineRule="auto"/>
        <w:ind w:firstLine="720"/>
        <w:jc w:val="both"/>
        <w:rPr>
          <w:rFonts w:cs="Times New Roman"/>
          <w:sz w:val="28"/>
          <w:szCs w:val="28"/>
          <w:shd w:val="clear" w:color="auto" w:fill="FFFFFF"/>
        </w:rPr>
      </w:pPr>
      <w:r w:rsidRPr="00877148">
        <w:rPr>
          <w:rFonts w:cs="Times New Roman"/>
          <w:sz w:val="28"/>
          <w:szCs w:val="28"/>
          <w:shd w:val="clear" w:color="auto" w:fill="FFFFFF"/>
        </w:rPr>
        <w:t>(4) Doanh nghiệp nhỏ và siêu nhỏ được xác định theo quy định của Luật Hỗ trợ doanh nghiệp nhỏ và vừa năm 2017 và Nghị định số 80/2021/NĐ-CP ngày 26/8/2021 của Chính phủ quy định chi tiết một số điều của Luật Hỗ trợ doanh nghiệp nhỏ và vừa.</w:t>
      </w:r>
    </w:p>
    <w:p w:rsidR="00877148" w:rsidRDefault="00877148" w:rsidP="00877148">
      <w:pPr>
        <w:spacing w:after="120" w:line="240" w:lineRule="auto"/>
        <w:ind w:firstLine="720"/>
        <w:jc w:val="both"/>
        <w:rPr>
          <w:rFonts w:cs="Times New Roman"/>
          <w:sz w:val="28"/>
          <w:szCs w:val="28"/>
          <w:shd w:val="clear" w:color="auto" w:fill="FFFFFF"/>
        </w:rPr>
      </w:pPr>
      <w:r w:rsidRPr="00877148">
        <w:rPr>
          <w:rFonts w:cs="Times New Roman"/>
          <w:sz w:val="28"/>
          <w:szCs w:val="28"/>
          <w:shd w:val="clear" w:color="auto" w:fill="FFFFFF"/>
        </w:rPr>
        <w:t>Ngành kinh tế, lĩnh vực của doanh nghiệp, tổ chức, hộ gia đình, hộ kinh doanh, cá nhân kinh doanh quy định tại (1), (2) và (3) nêu trên là ngành, lĩnh vực mà doanh nghiệp, tổ chức, hộ gia đình, hộ kinh doanh, cá nhân kinh doanh có hoạt động sản xuất, kinh doanh và phát sinh doanh thu trong năm 2022 hoặc 2023.</w:t>
      </w:r>
    </w:p>
    <w:p w:rsidR="00877148" w:rsidRPr="00877148" w:rsidRDefault="00877148" w:rsidP="00877148">
      <w:pPr>
        <w:spacing w:after="120" w:line="240" w:lineRule="auto"/>
        <w:ind w:firstLine="720"/>
        <w:jc w:val="both"/>
        <w:rPr>
          <w:rFonts w:cs="Times New Roman"/>
          <w:sz w:val="28"/>
          <w:szCs w:val="28"/>
        </w:rPr>
      </w:pPr>
      <w:r w:rsidRPr="00877148">
        <w:rPr>
          <w:rFonts w:cs="Times New Roman"/>
          <w:color w:val="000000"/>
          <w:sz w:val="28"/>
          <w:szCs w:val="28"/>
          <w:shd w:val="clear" w:color="auto" w:fill="FFFFFF"/>
        </w:rPr>
        <w:t>Nghị định này có hiệu lực từ ngày ký ban hành đến hết ngày 31 tháng 12 năm 2023.</w:t>
      </w:r>
      <w:r w:rsidR="00837766">
        <w:rPr>
          <w:rFonts w:cs="Times New Roman"/>
          <w:color w:val="000000"/>
          <w:sz w:val="28"/>
          <w:szCs w:val="28"/>
          <w:shd w:val="clear" w:color="auto" w:fill="FFFFFF"/>
        </w:rPr>
        <w:t>/.</w:t>
      </w:r>
    </w:p>
    <w:sectPr w:rsidR="00877148" w:rsidRPr="00877148" w:rsidSect="0084739A">
      <w:headerReference w:type="default" r:id="rId7"/>
      <w:footerReference w:type="default" r:id="rId8"/>
      <w:head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0E" w:rsidRDefault="00A8070E" w:rsidP="00AC126C">
      <w:pPr>
        <w:spacing w:after="0" w:line="240" w:lineRule="auto"/>
      </w:pPr>
      <w:r>
        <w:separator/>
      </w:r>
    </w:p>
  </w:endnote>
  <w:endnote w:type="continuationSeparator" w:id="1">
    <w:p w:rsidR="00A8070E" w:rsidRDefault="00A8070E" w:rsidP="00AC1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Serif">
    <w:altName w:val="Times New Roman"/>
    <w:panose1 w:val="00000000000000000000"/>
    <w:charset w:val="0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6C" w:rsidRPr="00AC126C" w:rsidRDefault="00237504">
    <w:pPr>
      <w:pStyle w:val="Footer"/>
      <w:rPr>
        <w:sz w:val="14"/>
        <w:szCs w:val="14"/>
      </w:rPr>
    </w:pPr>
    <w:fldSimple w:instr=" FILENAME  \p  \* MERGEFORMAT ">
      <w:r w:rsidR="007C05A6">
        <w:rPr>
          <w:noProof/>
          <w:sz w:val="12"/>
          <w:szCs w:val="14"/>
        </w:rPr>
        <w:t>D:\QUYEN\2023\5. Ky hop\2. KH giua nam\1. KH\2b. Thong tin chinh sach moi phuc vu ky hop giua nam 2023.docx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0E" w:rsidRDefault="00A8070E" w:rsidP="00AC126C">
      <w:pPr>
        <w:spacing w:after="0" w:line="240" w:lineRule="auto"/>
      </w:pPr>
      <w:r>
        <w:separator/>
      </w:r>
    </w:p>
  </w:footnote>
  <w:footnote w:type="continuationSeparator" w:id="1">
    <w:p w:rsidR="00A8070E" w:rsidRDefault="00A8070E" w:rsidP="00AC1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505194"/>
      <w:docPartObj>
        <w:docPartGallery w:val="Page Numbers (Top of Page)"/>
        <w:docPartUnique/>
      </w:docPartObj>
    </w:sdtPr>
    <w:sdtEndPr>
      <w:rPr>
        <w:noProof/>
        <w:sz w:val="26"/>
        <w:szCs w:val="26"/>
      </w:rPr>
    </w:sdtEndPr>
    <w:sdtContent>
      <w:p w:rsidR="00BF2980" w:rsidRPr="00B50EA3" w:rsidRDefault="00237504" w:rsidP="00B50EA3">
        <w:pPr>
          <w:pStyle w:val="Header"/>
          <w:jc w:val="center"/>
          <w:rPr>
            <w:sz w:val="26"/>
            <w:szCs w:val="26"/>
          </w:rPr>
        </w:pPr>
        <w:r w:rsidRPr="00BF2980">
          <w:rPr>
            <w:sz w:val="26"/>
            <w:szCs w:val="26"/>
          </w:rPr>
          <w:fldChar w:fldCharType="begin"/>
        </w:r>
        <w:r w:rsidR="00BF2980" w:rsidRPr="00BF2980">
          <w:rPr>
            <w:sz w:val="26"/>
            <w:szCs w:val="26"/>
          </w:rPr>
          <w:instrText xml:space="preserve"> PAGE   \* MERGEFORMAT </w:instrText>
        </w:r>
        <w:r w:rsidRPr="00BF2980">
          <w:rPr>
            <w:sz w:val="26"/>
            <w:szCs w:val="26"/>
          </w:rPr>
          <w:fldChar w:fldCharType="separate"/>
        </w:r>
        <w:r w:rsidR="005F7DBA">
          <w:rPr>
            <w:noProof/>
            <w:sz w:val="26"/>
            <w:szCs w:val="26"/>
          </w:rPr>
          <w:t>5</w:t>
        </w:r>
        <w:r w:rsidRPr="00BF2980">
          <w:rPr>
            <w:noProof/>
            <w:sz w:val="26"/>
            <w:szCs w:val="26"/>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80" w:rsidRDefault="00BF2980">
    <w:pPr>
      <w:pStyle w:val="Header"/>
      <w:jc w:val="center"/>
    </w:pPr>
  </w:p>
  <w:p w:rsidR="00BF2980" w:rsidRDefault="00BF29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15D8"/>
    <w:rsid w:val="00037C86"/>
    <w:rsid w:val="001F6347"/>
    <w:rsid w:val="001F7C89"/>
    <w:rsid w:val="00237504"/>
    <w:rsid w:val="00333A16"/>
    <w:rsid w:val="003B15D8"/>
    <w:rsid w:val="004F55D5"/>
    <w:rsid w:val="0054129E"/>
    <w:rsid w:val="005F7DBA"/>
    <w:rsid w:val="00607B5F"/>
    <w:rsid w:val="00643F34"/>
    <w:rsid w:val="007C05A6"/>
    <w:rsid w:val="00837766"/>
    <w:rsid w:val="0084739A"/>
    <w:rsid w:val="00877148"/>
    <w:rsid w:val="008B7EDA"/>
    <w:rsid w:val="008D31C9"/>
    <w:rsid w:val="009E235E"/>
    <w:rsid w:val="00A8070E"/>
    <w:rsid w:val="00AC126C"/>
    <w:rsid w:val="00B24AF9"/>
    <w:rsid w:val="00B50EA3"/>
    <w:rsid w:val="00BE41AF"/>
    <w:rsid w:val="00BF2980"/>
    <w:rsid w:val="00CE4E26"/>
    <w:rsid w:val="00D46610"/>
    <w:rsid w:val="00F14C17"/>
    <w:rsid w:val="00F47DF4"/>
    <w:rsid w:val="00FF6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D8"/>
  </w:style>
  <w:style w:type="paragraph" w:styleId="Heading2">
    <w:name w:val="heading 2"/>
    <w:basedOn w:val="Normal"/>
    <w:link w:val="Heading2Char"/>
    <w:uiPriority w:val="9"/>
    <w:qFormat/>
    <w:rsid w:val="003B15D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3B15D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B15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5D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B15D8"/>
    <w:rPr>
      <w:b/>
      <w:bCs/>
    </w:rPr>
  </w:style>
  <w:style w:type="character" w:customStyle="1" w:styleId="Heading2Char">
    <w:name w:val="Heading 2 Char"/>
    <w:basedOn w:val="DefaultParagraphFont"/>
    <w:link w:val="Heading2"/>
    <w:uiPriority w:val="9"/>
    <w:rsid w:val="003B15D8"/>
    <w:rPr>
      <w:rFonts w:eastAsia="Times New Roman" w:cs="Times New Roman"/>
      <w:b/>
      <w:bCs/>
      <w:sz w:val="36"/>
      <w:szCs w:val="36"/>
    </w:rPr>
  </w:style>
  <w:style w:type="character" w:customStyle="1" w:styleId="Heading3Char">
    <w:name w:val="Heading 3 Char"/>
    <w:basedOn w:val="DefaultParagraphFont"/>
    <w:link w:val="Heading3"/>
    <w:uiPriority w:val="9"/>
    <w:rsid w:val="003B15D8"/>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3B15D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3B15D8"/>
    <w:rPr>
      <w:color w:val="0000FF"/>
      <w:u w:val="single"/>
    </w:rPr>
  </w:style>
  <w:style w:type="character" w:styleId="Emphasis">
    <w:name w:val="Emphasis"/>
    <w:basedOn w:val="DefaultParagraphFont"/>
    <w:uiPriority w:val="20"/>
    <w:qFormat/>
    <w:rsid w:val="003B15D8"/>
    <w:rPr>
      <w:i/>
      <w:iCs/>
    </w:rPr>
  </w:style>
  <w:style w:type="paragraph" w:styleId="Header">
    <w:name w:val="header"/>
    <w:basedOn w:val="Normal"/>
    <w:link w:val="HeaderChar"/>
    <w:uiPriority w:val="99"/>
    <w:unhideWhenUsed/>
    <w:rsid w:val="00AC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6C"/>
  </w:style>
  <w:style w:type="paragraph" w:styleId="Footer">
    <w:name w:val="footer"/>
    <w:basedOn w:val="Normal"/>
    <w:link w:val="FooterChar"/>
    <w:uiPriority w:val="99"/>
    <w:unhideWhenUsed/>
    <w:rsid w:val="00AC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6C"/>
  </w:style>
  <w:style w:type="paragraph" w:styleId="ListParagraph">
    <w:name w:val="List Paragraph"/>
    <w:basedOn w:val="Normal"/>
    <w:uiPriority w:val="34"/>
    <w:qFormat/>
    <w:rsid w:val="00877148"/>
    <w:pPr>
      <w:ind w:left="720"/>
      <w:contextualSpacing/>
    </w:pPr>
  </w:style>
</w:styles>
</file>

<file path=word/webSettings.xml><?xml version="1.0" encoding="utf-8"?>
<w:webSettings xmlns:r="http://schemas.openxmlformats.org/officeDocument/2006/relationships" xmlns:w="http://schemas.openxmlformats.org/wordprocessingml/2006/main">
  <w:divs>
    <w:div w:id="61097921">
      <w:bodyDiv w:val="1"/>
      <w:marLeft w:val="0"/>
      <w:marRight w:val="0"/>
      <w:marTop w:val="0"/>
      <w:marBottom w:val="0"/>
      <w:divBdr>
        <w:top w:val="none" w:sz="0" w:space="0" w:color="auto"/>
        <w:left w:val="none" w:sz="0" w:space="0" w:color="auto"/>
        <w:bottom w:val="none" w:sz="0" w:space="0" w:color="auto"/>
        <w:right w:val="none" w:sz="0" w:space="0" w:color="auto"/>
      </w:divBdr>
    </w:div>
    <w:div w:id="82071792">
      <w:bodyDiv w:val="1"/>
      <w:marLeft w:val="0"/>
      <w:marRight w:val="0"/>
      <w:marTop w:val="0"/>
      <w:marBottom w:val="0"/>
      <w:divBdr>
        <w:top w:val="none" w:sz="0" w:space="0" w:color="auto"/>
        <w:left w:val="none" w:sz="0" w:space="0" w:color="auto"/>
        <w:bottom w:val="none" w:sz="0" w:space="0" w:color="auto"/>
        <w:right w:val="none" w:sz="0" w:space="0" w:color="auto"/>
      </w:divBdr>
    </w:div>
    <w:div w:id="297876686">
      <w:bodyDiv w:val="1"/>
      <w:marLeft w:val="0"/>
      <w:marRight w:val="0"/>
      <w:marTop w:val="0"/>
      <w:marBottom w:val="0"/>
      <w:divBdr>
        <w:top w:val="none" w:sz="0" w:space="0" w:color="auto"/>
        <w:left w:val="none" w:sz="0" w:space="0" w:color="auto"/>
        <w:bottom w:val="none" w:sz="0" w:space="0" w:color="auto"/>
        <w:right w:val="none" w:sz="0" w:space="0" w:color="auto"/>
      </w:divBdr>
      <w:divsChild>
        <w:div w:id="988751695">
          <w:marLeft w:val="0"/>
          <w:marRight w:val="0"/>
          <w:marTop w:val="0"/>
          <w:marBottom w:val="225"/>
          <w:divBdr>
            <w:top w:val="none" w:sz="0" w:space="0" w:color="auto"/>
            <w:left w:val="none" w:sz="0" w:space="0" w:color="auto"/>
            <w:bottom w:val="none" w:sz="0" w:space="0" w:color="auto"/>
            <w:right w:val="none" w:sz="0" w:space="0" w:color="auto"/>
          </w:divBdr>
        </w:div>
      </w:divsChild>
    </w:div>
    <w:div w:id="628513406">
      <w:bodyDiv w:val="1"/>
      <w:marLeft w:val="0"/>
      <w:marRight w:val="0"/>
      <w:marTop w:val="0"/>
      <w:marBottom w:val="0"/>
      <w:divBdr>
        <w:top w:val="none" w:sz="0" w:space="0" w:color="auto"/>
        <w:left w:val="none" w:sz="0" w:space="0" w:color="auto"/>
        <w:bottom w:val="none" w:sz="0" w:space="0" w:color="auto"/>
        <w:right w:val="none" w:sz="0" w:space="0" w:color="auto"/>
      </w:divBdr>
    </w:div>
    <w:div w:id="1041323373">
      <w:bodyDiv w:val="1"/>
      <w:marLeft w:val="0"/>
      <w:marRight w:val="0"/>
      <w:marTop w:val="0"/>
      <w:marBottom w:val="0"/>
      <w:divBdr>
        <w:top w:val="none" w:sz="0" w:space="0" w:color="auto"/>
        <w:left w:val="none" w:sz="0" w:space="0" w:color="auto"/>
        <w:bottom w:val="none" w:sz="0" w:space="0" w:color="auto"/>
        <w:right w:val="none" w:sz="0" w:space="0" w:color="auto"/>
      </w:divBdr>
    </w:div>
    <w:div w:id="1064137448">
      <w:bodyDiv w:val="1"/>
      <w:marLeft w:val="0"/>
      <w:marRight w:val="0"/>
      <w:marTop w:val="0"/>
      <w:marBottom w:val="0"/>
      <w:divBdr>
        <w:top w:val="none" w:sz="0" w:space="0" w:color="auto"/>
        <w:left w:val="none" w:sz="0" w:space="0" w:color="auto"/>
        <w:bottom w:val="none" w:sz="0" w:space="0" w:color="auto"/>
        <w:right w:val="none" w:sz="0" w:space="0" w:color="auto"/>
      </w:divBdr>
    </w:div>
    <w:div w:id="1182233797">
      <w:bodyDiv w:val="1"/>
      <w:marLeft w:val="0"/>
      <w:marRight w:val="0"/>
      <w:marTop w:val="0"/>
      <w:marBottom w:val="0"/>
      <w:divBdr>
        <w:top w:val="none" w:sz="0" w:space="0" w:color="auto"/>
        <w:left w:val="none" w:sz="0" w:space="0" w:color="auto"/>
        <w:bottom w:val="none" w:sz="0" w:space="0" w:color="auto"/>
        <w:right w:val="none" w:sz="0" w:space="0" w:color="auto"/>
      </w:divBdr>
    </w:div>
    <w:div w:id="1379548967">
      <w:bodyDiv w:val="1"/>
      <w:marLeft w:val="0"/>
      <w:marRight w:val="0"/>
      <w:marTop w:val="0"/>
      <w:marBottom w:val="0"/>
      <w:divBdr>
        <w:top w:val="none" w:sz="0" w:space="0" w:color="auto"/>
        <w:left w:val="none" w:sz="0" w:space="0" w:color="auto"/>
        <w:bottom w:val="none" w:sz="0" w:space="0" w:color="auto"/>
        <w:right w:val="none" w:sz="0" w:space="0" w:color="auto"/>
      </w:divBdr>
    </w:div>
    <w:div w:id="1893226735">
      <w:bodyDiv w:val="1"/>
      <w:marLeft w:val="0"/>
      <w:marRight w:val="0"/>
      <w:marTop w:val="0"/>
      <w:marBottom w:val="0"/>
      <w:divBdr>
        <w:top w:val="none" w:sz="0" w:space="0" w:color="auto"/>
        <w:left w:val="none" w:sz="0" w:space="0" w:color="auto"/>
        <w:bottom w:val="none" w:sz="0" w:space="0" w:color="auto"/>
        <w:right w:val="none" w:sz="0" w:space="0" w:color="auto"/>
      </w:divBdr>
    </w:div>
    <w:div w:id="2022968776">
      <w:bodyDiv w:val="1"/>
      <w:marLeft w:val="0"/>
      <w:marRight w:val="0"/>
      <w:marTop w:val="0"/>
      <w:marBottom w:val="0"/>
      <w:divBdr>
        <w:top w:val="none" w:sz="0" w:space="0" w:color="auto"/>
        <w:left w:val="none" w:sz="0" w:space="0" w:color="auto"/>
        <w:bottom w:val="none" w:sz="0" w:space="0" w:color="auto"/>
        <w:right w:val="none" w:sz="0" w:space="0" w:color="auto"/>
      </w:divBdr>
    </w:div>
    <w:div w:id="20814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ban.chinhphu.vn/?pageid=27160&amp;docid=207048&amp;classid=1&amp;typegroupid=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NK</cp:lastModifiedBy>
  <cp:revision>2</cp:revision>
  <cp:lastPrinted>2023-05-06T03:05:00Z</cp:lastPrinted>
  <dcterms:created xsi:type="dcterms:W3CDTF">2023-05-19T09:36:00Z</dcterms:created>
  <dcterms:modified xsi:type="dcterms:W3CDTF">2023-05-19T09:36:00Z</dcterms:modified>
</cp:coreProperties>
</file>